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15" w:rsidRDefault="00707161">
      <w:pPr>
        <w:pStyle w:val="Heading1"/>
        <w:spacing w:before="82"/>
        <w:ind w:left="2436" w:right="2814"/>
        <w:jc w:val="center"/>
      </w:pPr>
      <w:r>
        <w:t>ORLD 5527- The College Professoriate (Fall 2002)</w:t>
      </w:r>
    </w:p>
    <w:p w:rsidR="00517715" w:rsidRDefault="00517715">
      <w:pPr>
        <w:pStyle w:val="BodyText"/>
        <w:ind w:left="0"/>
        <w:jc w:val="left"/>
        <w:rPr>
          <w:b/>
        </w:rPr>
      </w:pPr>
    </w:p>
    <w:p w:rsidR="00517715" w:rsidRDefault="00707161">
      <w:pPr>
        <w:ind w:left="1590"/>
        <w:rPr>
          <w:b/>
          <w:sz w:val="24"/>
        </w:rPr>
      </w:pPr>
      <w:r>
        <w:rPr>
          <w:b/>
          <w:sz w:val="24"/>
        </w:rPr>
        <w:t>Term Paper: The Professor in Mid-Life Career Change</w:t>
      </w:r>
    </w:p>
    <w:p w:rsidR="00517715" w:rsidRDefault="00517715">
      <w:pPr>
        <w:pStyle w:val="BodyText"/>
        <w:ind w:left="0"/>
        <w:jc w:val="left"/>
        <w:rPr>
          <w:b/>
          <w:sz w:val="26"/>
        </w:rPr>
      </w:pPr>
    </w:p>
    <w:p w:rsidR="00517715" w:rsidRDefault="00517715">
      <w:pPr>
        <w:pStyle w:val="BodyText"/>
        <w:spacing w:before="3"/>
        <w:ind w:left="0"/>
        <w:jc w:val="left"/>
        <w:rPr>
          <w:b/>
          <w:sz w:val="22"/>
        </w:rPr>
      </w:pPr>
    </w:p>
    <w:p w:rsidR="00517715" w:rsidRDefault="00707161">
      <w:pPr>
        <w:ind w:left="2436" w:right="2812"/>
        <w:jc w:val="center"/>
        <w:rPr>
          <w:b/>
          <w:sz w:val="24"/>
        </w:rPr>
      </w:pPr>
      <w:r>
        <w:rPr>
          <w:b/>
          <w:sz w:val="24"/>
        </w:rPr>
        <w:t>INTRODUCTION</w:t>
      </w:r>
    </w:p>
    <w:p w:rsidR="00517715" w:rsidRDefault="00707161">
      <w:pPr>
        <w:pStyle w:val="BodyText"/>
        <w:spacing w:before="132" w:line="360" w:lineRule="auto"/>
        <w:ind w:right="111" w:firstLine="719"/>
      </w:pPr>
      <w:r>
        <w:t xml:space="preserve">The </w:t>
      </w:r>
      <w:r>
        <w:rPr>
          <w:i/>
        </w:rPr>
        <w:t xml:space="preserve">Random House Webster's College Dictionary </w:t>
      </w:r>
      <w:r>
        <w:t>(2000) defines a career as "an occupation or profession followed through some or all of one'</w:t>
      </w:r>
      <w:r>
        <w:t>s life" (p. 201). Faculty occupation in academia typically involves teaching, research and the provision of services, and this takes place within recognized academic disciplines i.e. the subject matter of study, and the scholarly community (institutions an</w:t>
      </w:r>
      <w:r>
        <w:t>d professional associations) that engages in knowledge construction in the particular subject. The professor's career thus represents a commitment to a discipline for most or all of his/her working life.</w:t>
      </w:r>
    </w:p>
    <w:p w:rsidR="00517715" w:rsidRDefault="00707161">
      <w:pPr>
        <w:pStyle w:val="BodyText"/>
        <w:spacing w:before="2" w:line="360" w:lineRule="auto"/>
        <w:ind w:right="118" w:firstLine="719"/>
      </w:pPr>
      <w:r>
        <w:t>However, at some point in their careers, some profes</w:t>
      </w:r>
      <w:r>
        <w:t xml:space="preserve">sors decide to shift focus of their scholarship either to another aspect within their discipline of study, or to an entirely new discipline altogether - a phenomenon termed "Intellectual Migration" or "Intellectual Mobility" (Becher, 1989). </w:t>
      </w:r>
      <w:r>
        <w:rPr>
          <w:spacing w:val="-3"/>
        </w:rPr>
        <w:t xml:space="preserve">It </w:t>
      </w:r>
      <w:r>
        <w:t>is understan</w:t>
      </w:r>
      <w:r>
        <w:t>dable if this process takes place in the beginning or early stages of the professor's academic career, as early adulthood is a time of choices and initial commitments. However, it is quite intriguing when intellectual migration occurs at the mid-career sta</w:t>
      </w:r>
      <w:r>
        <w:t>ge, a stage where the professor has, according to Becher (1989), "achieved both the goal of professional reputation and the status of a tenured appointment" (p. 172), and his/her influence and productivity is at its maximum. Becher however provides several</w:t>
      </w:r>
      <w:r>
        <w:t xml:space="preserve"> instances of migration across disciplines - physicists who turned to chemistry and engineering, a historian who had become a sociologist, a chemist turned to philosophy etc, as well as movement across specialisms within the same discipline.</w:t>
      </w:r>
    </w:p>
    <w:p w:rsidR="00517715" w:rsidRDefault="00707161">
      <w:pPr>
        <w:pStyle w:val="BodyText"/>
        <w:spacing w:before="1" w:line="360" w:lineRule="auto"/>
        <w:ind w:right="113" w:firstLine="719"/>
      </w:pPr>
      <w:r>
        <w:t>Intellectual m</w:t>
      </w:r>
      <w:r>
        <w:t>igration in mid-career is thus an activity that takes place within academia. But what are the career challenges in mid-career that provoke this phenomenon? And what are the consequences of this migration on the professor in question, the disciplines or sub</w:t>
      </w:r>
      <w:r>
        <w:t>-disciplines involved, and society at large? Bearing these consequences in  mind, should academia encourage this behavior among faculty, discourage it or be indifferent about it? These are the issues that this paper seeks to</w:t>
      </w:r>
      <w:r>
        <w:rPr>
          <w:spacing w:val="-1"/>
        </w:rPr>
        <w:t xml:space="preserve"> </w:t>
      </w:r>
      <w:r>
        <w:t>discuss.</w:t>
      </w:r>
    </w:p>
    <w:p w:rsidR="00517715" w:rsidRDefault="00707161">
      <w:pPr>
        <w:pStyle w:val="BodyText"/>
        <w:spacing w:before="1" w:line="360" w:lineRule="auto"/>
        <w:ind w:right="114" w:firstLine="719"/>
      </w:pPr>
      <w:r>
        <w:t xml:space="preserve">Thus, in this paper I </w:t>
      </w:r>
      <w:r>
        <w:t>will: 1) discuss the various stages of an academic career with emphasis on the mid-career stage; 2) examine the issue intellectual migration in mid-career; and 3) offer suggestions as to what role academia should play regarding this issue of intellectual m</w:t>
      </w:r>
      <w:r>
        <w:t>igration.</w:t>
      </w:r>
    </w:p>
    <w:p w:rsidR="00517715" w:rsidRDefault="00517715">
      <w:pPr>
        <w:spacing w:line="360" w:lineRule="auto"/>
        <w:sectPr w:rsidR="00517715">
          <w:headerReference w:type="default" r:id="rId7"/>
          <w:footerReference w:type="default" r:id="rId8"/>
          <w:type w:val="continuous"/>
          <w:pgSz w:w="11910" w:h="16840"/>
          <w:pgMar w:top="1340" w:right="1320" w:bottom="940" w:left="1340" w:header="727" w:footer="746" w:gutter="0"/>
          <w:pgNumType w:start="1"/>
          <w:cols w:space="720"/>
        </w:sectPr>
      </w:pPr>
    </w:p>
    <w:p w:rsidR="00517715" w:rsidRDefault="00707161">
      <w:pPr>
        <w:pStyle w:val="Heading1"/>
        <w:spacing w:before="84"/>
        <w:ind w:left="3120"/>
      </w:pPr>
      <w:r>
        <w:lastRenderedPageBreak/>
        <w:t>THE ACADEMIC CAREER</w:t>
      </w:r>
    </w:p>
    <w:p w:rsidR="00517715" w:rsidRDefault="00707161">
      <w:pPr>
        <w:pStyle w:val="BodyText"/>
        <w:spacing w:before="133" w:line="360" w:lineRule="auto"/>
        <w:ind w:right="114" w:firstLine="719"/>
      </w:pPr>
      <w:r>
        <w:t>The term "career"</w:t>
      </w:r>
      <w:r>
        <w:t xml:space="preserve"> derives from the French </w:t>
      </w:r>
      <w:r>
        <w:rPr>
          <w:i/>
        </w:rPr>
        <w:t xml:space="preserve">carrière </w:t>
      </w:r>
      <w:r>
        <w:t>which literally means a "racecourse." A career thus has a "starting gate," a "course to be run" and a "finish line." A typical academic career thus begins, in early adulthood, with recruitment into a salaried position in t</w:t>
      </w:r>
      <w:r>
        <w:t>he professoriate of a higher education institution, proceeds through a "course" defined and shaped by the faculty member's institution and discipline of interest, and ends with retirement at late adulthood. The "race" itself consists of a sequence and comb</w:t>
      </w:r>
      <w:r>
        <w:t>ination of roles and activities, the performance of which determines one's progress or otherwise, through the "course."</w:t>
      </w:r>
    </w:p>
    <w:p w:rsidR="00517715" w:rsidRDefault="00707161">
      <w:pPr>
        <w:pStyle w:val="BodyText"/>
        <w:spacing w:line="360" w:lineRule="auto"/>
        <w:ind w:right="117" w:firstLine="719"/>
      </w:pPr>
      <w:r>
        <w:t>Qualified people enter the professoriate career for a variety of reasons, including the desire to teach and do research, an intrinsic in</w:t>
      </w:r>
      <w:r>
        <w:t xml:space="preserve">terest in a particular discipline, the influence of other professors, or the simple fact of getting a job, among others (Finkelstein, 1984). </w:t>
      </w:r>
      <w:r>
        <w:rPr>
          <w:spacing w:val="-3"/>
        </w:rPr>
        <w:t xml:space="preserve">In </w:t>
      </w:r>
      <w:r>
        <w:t>the (United States) academe however, each individual goes through four main processes or stages, identified by B</w:t>
      </w:r>
      <w:r>
        <w:t>owen and Schuster (1986, in Alstete, 2000, p. 4)</w:t>
      </w:r>
      <w:r>
        <w:rPr>
          <w:spacing w:val="-4"/>
        </w:rPr>
        <w:t xml:space="preserve"> </w:t>
      </w:r>
      <w:r>
        <w:t>as:</w:t>
      </w:r>
    </w:p>
    <w:p w:rsidR="00517715" w:rsidRDefault="00707161">
      <w:pPr>
        <w:pStyle w:val="ListParagraph"/>
        <w:numPr>
          <w:ilvl w:val="0"/>
          <w:numId w:val="2"/>
        </w:numPr>
        <w:tabs>
          <w:tab w:val="left" w:pos="820"/>
          <w:tab w:val="left" w:pos="821"/>
        </w:tabs>
        <w:rPr>
          <w:i/>
          <w:sz w:val="24"/>
        </w:rPr>
      </w:pPr>
      <w:r>
        <w:rPr>
          <w:i/>
          <w:sz w:val="24"/>
        </w:rPr>
        <w:t>The initial appointment as instructor or assistant professor for a limited</w:t>
      </w:r>
      <w:r>
        <w:rPr>
          <w:i/>
          <w:spacing w:val="-6"/>
          <w:sz w:val="24"/>
        </w:rPr>
        <w:t xml:space="preserve"> </w:t>
      </w:r>
      <w:r>
        <w:rPr>
          <w:i/>
          <w:sz w:val="24"/>
        </w:rPr>
        <w:t>term;</w:t>
      </w:r>
    </w:p>
    <w:p w:rsidR="00517715" w:rsidRDefault="00707161">
      <w:pPr>
        <w:pStyle w:val="ListParagraph"/>
        <w:numPr>
          <w:ilvl w:val="0"/>
          <w:numId w:val="2"/>
        </w:numPr>
        <w:tabs>
          <w:tab w:val="left" w:pos="820"/>
          <w:tab w:val="left" w:pos="821"/>
        </w:tabs>
        <w:spacing w:before="137" w:line="360" w:lineRule="auto"/>
        <w:ind w:right="116"/>
        <w:rPr>
          <w:i/>
          <w:sz w:val="24"/>
        </w:rPr>
      </w:pPr>
      <w:r>
        <w:rPr>
          <w:i/>
          <w:sz w:val="24"/>
        </w:rPr>
        <w:t>A probationary period (including the initial appointment) of one to seven or more years;</w:t>
      </w:r>
    </w:p>
    <w:p w:rsidR="00517715" w:rsidRDefault="00707161">
      <w:pPr>
        <w:pStyle w:val="ListParagraph"/>
        <w:numPr>
          <w:ilvl w:val="0"/>
          <w:numId w:val="2"/>
        </w:numPr>
        <w:tabs>
          <w:tab w:val="left" w:pos="820"/>
          <w:tab w:val="left" w:pos="821"/>
        </w:tabs>
        <w:spacing w:before="0"/>
        <w:rPr>
          <w:i/>
          <w:sz w:val="24"/>
        </w:rPr>
      </w:pPr>
      <w:r>
        <w:rPr>
          <w:i/>
          <w:sz w:val="24"/>
        </w:rPr>
        <w:t>Promotion to associate professor and advancement to</w:t>
      </w:r>
      <w:r>
        <w:rPr>
          <w:i/>
          <w:spacing w:val="-1"/>
          <w:sz w:val="24"/>
        </w:rPr>
        <w:t xml:space="preserve"> </w:t>
      </w:r>
      <w:r>
        <w:rPr>
          <w:i/>
          <w:sz w:val="24"/>
        </w:rPr>
        <w:t>tenure;</w:t>
      </w:r>
    </w:p>
    <w:p w:rsidR="00517715" w:rsidRDefault="00707161">
      <w:pPr>
        <w:pStyle w:val="ListParagraph"/>
        <w:numPr>
          <w:ilvl w:val="0"/>
          <w:numId w:val="2"/>
        </w:numPr>
        <w:tabs>
          <w:tab w:val="left" w:pos="820"/>
          <w:tab w:val="left" w:pos="821"/>
        </w:tabs>
        <w:spacing w:before="139"/>
        <w:rPr>
          <w:i/>
          <w:sz w:val="24"/>
        </w:rPr>
      </w:pPr>
      <w:r>
        <w:rPr>
          <w:i/>
          <w:sz w:val="24"/>
        </w:rPr>
        <w:t>Advancement to full</w:t>
      </w:r>
      <w:r>
        <w:rPr>
          <w:i/>
          <w:spacing w:val="-1"/>
          <w:sz w:val="24"/>
        </w:rPr>
        <w:t xml:space="preserve"> </w:t>
      </w:r>
      <w:r>
        <w:rPr>
          <w:i/>
          <w:sz w:val="24"/>
        </w:rPr>
        <w:t>professor.</w:t>
      </w:r>
    </w:p>
    <w:p w:rsidR="00517715" w:rsidRDefault="00707161">
      <w:pPr>
        <w:pStyle w:val="BodyText"/>
        <w:spacing w:before="137" w:line="360" w:lineRule="auto"/>
        <w:ind w:right="115" w:firstLine="360"/>
      </w:pPr>
      <w:r>
        <w:t>Thus, the academic career, like all other aspects of adulthood, follows a developmental path, with each stage being characterized by unique attitudes, interests, act</w:t>
      </w:r>
      <w:r>
        <w:t>ivities, goals and developmental needs of faculty as they progress through their careers, growing in age and experience. Developmental and occupational theorists therefore apply a general career model to the academic career i.e. the entry or initiation, ea</w:t>
      </w:r>
      <w:r>
        <w:t>rly-career, mid-career and late-career stages (Baldwin, 1990). These stages broadly correspond to the processes mentioned above. As each career stage poses a distinctive challenge that can have profound influence on faculty morale and productivity, Baldwin</w:t>
      </w:r>
      <w:r>
        <w:t xml:space="preserve"> &amp; Blackburn (1981) recommend that "colleges and universities as well as individual faculty must pay greater attention to the characteristics and concerns of each stage" (p. 608). I will therefore next examine these stages of the academic career in detail,</w:t>
      </w:r>
      <w:r>
        <w:t xml:space="preserve"> based on this framework. I must however point out that this model is a broad generalization and thus not wholly applicable to each and every individual faculty member.</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Heading1"/>
        <w:spacing w:before="84"/>
      </w:pPr>
      <w:r>
        <w:lastRenderedPageBreak/>
        <w:t>The Entry Stage</w:t>
      </w:r>
    </w:p>
    <w:p w:rsidR="00517715" w:rsidRDefault="00707161">
      <w:pPr>
        <w:pStyle w:val="BodyText"/>
        <w:spacing w:before="133" w:line="360" w:lineRule="auto"/>
        <w:ind w:right="111" w:firstLine="719"/>
      </w:pPr>
      <w:r>
        <w:t xml:space="preserve">This stage (which can last from one term or semester </w:t>
      </w:r>
      <w:r>
        <w:t>to a couple of years), is a period of intense pressure and considerable changes, when the professor learns the technicalities of effective teaching and research, studies the dynamics of academia and begins to experiment with a variety of options so as to f</w:t>
      </w:r>
      <w:r>
        <w:t>ashion out his/her career. The young professor also goes through a process of "socialization and/or acculturation" (Reynolds, 1992), in order to fit into the community. Reynolds introduces the concept of "social interdependence" as a combination of "self,"</w:t>
      </w:r>
      <w:r>
        <w:t xml:space="preserve"> "other" and "relationship to other," and suggests that individuals will most probably have a smooth transition into academia (hence a successful career), if they enter with a view of social interdependence that is in tune with what prevails in community. </w:t>
      </w:r>
      <w:r>
        <w:t>On the contrary, persons whose conception of social interdependence is at variance with that of the scholarly community are more likely to encounter unpleasant experiences on entry, and this might impact negatively on such a person's entire career. Baldwin</w:t>
      </w:r>
      <w:r>
        <w:t xml:space="preserve"> (1990) states that "if the early years as a professor are unsatisfying, they can diminish enthusiasm and create a negative attitude that may persist throughout the career" (p. 32). The entry stage is therefore  a very crucial factor in determining the suc</w:t>
      </w:r>
      <w:r>
        <w:t>cess or otherwise of an individual's entire academic career, and thus calls for adequate interventions so as to smoothen out this important</w:t>
      </w:r>
      <w:r>
        <w:rPr>
          <w:spacing w:val="-1"/>
        </w:rPr>
        <w:t xml:space="preserve"> </w:t>
      </w:r>
      <w:r>
        <w:t>transition.</w:t>
      </w:r>
    </w:p>
    <w:p w:rsidR="00517715" w:rsidRDefault="00707161">
      <w:pPr>
        <w:pStyle w:val="BodyText"/>
        <w:spacing w:before="2" w:line="360" w:lineRule="auto"/>
        <w:ind w:right="112" w:firstLine="779"/>
      </w:pPr>
      <w:r>
        <w:t>Academic departments and institutions can play a supportive role in new faculty adjustment by carrying o</w:t>
      </w:r>
      <w:r>
        <w:t>ut well-planned orientation strategies, minimizing workloads and expectations and also fostering mentoring relationships that meet the unique needs of each individual professor. Baldwin (1990) also indicates that "sensitive guidance" from  established disc</w:t>
      </w:r>
      <w:r>
        <w:t>iplinary colleagues can be a very effective way of easing initial career transition. The individual on the other hand might have to re-conceptualize his/her view of "social interdependence" if it happens to be in conflict with that of the institution or di</w:t>
      </w:r>
      <w:r>
        <w:t>sciplinary</w:t>
      </w:r>
      <w:r>
        <w:rPr>
          <w:spacing w:val="-4"/>
        </w:rPr>
        <w:t xml:space="preserve"> </w:t>
      </w:r>
      <w:r>
        <w:t>community.</w:t>
      </w:r>
    </w:p>
    <w:p w:rsidR="00517715" w:rsidRDefault="00517715">
      <w:pPr>
        <w:pStyle w:val="BodyText"/>
        <w:spacing w:before="4"/>
        <w:ind w:left="0"/>
        <w:jc w:val="left"/>
        <w:rPr>
          <w:sz w:val="36"/>
        </w:rPr>
      </w:pPr>
    </w:p>
    <w:p w:rsidR="00517715" w:rsidRDefault="00707161">
      <w:pPr>
        <w:pStyle w:val="Heading1"/>
      </w:pPr>
      <w:r>
        <w:t>The Early Career Stage</w:t>
      </w:r>
    </w:p>
    <w:p w:rsidR="00517715" w:rsidRDefault="00707161">
      <w:pPr>
        <w:pStyle w:val="BodyText"/>
        <w:spacing w:before="135" w:line="360" w:lineRule="auto"/>
        <w:ind w:right="117" w:firstLine="719"/>
      </w:pPr>
      <w:r>
        <w:t>This is a period between career entry and full membership of the professoriate ranks (i.e. tenure). It is technically still a probationary period since the appointment can be terminated if one is ultimately den</w:t>
      </w:r>
      <w:r>
        <w:t>ied tenure. As Baldwin (1990) points out, "the early-career professor recognizes that denial of tenure could provoke a major transition in his/her life" (p. 33). The early-career professor therefore, has to master principal faculty roles, embark on meaning</w:t>
      </w:r>
      <w:r>
        <w:t>ful research and publish articles (so as to gain visibility and recognition), get</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ind w:right="115"/>
      </w:pPr>
      <w:r>
        <w:lastRenderedPageBreak/>
        <w:t>involved in professional associations and editorial boards, and still devote time for family and other personal responsibilities. Whilst the progress one ma</w:t>
      </w:r>
      <w:r>
        <w:t>kes depends to a great extent on the individual's institutional and disciplinary affiliation, it is generally recognized that "faculty who publish, who assume administrative responsibilities and who serve on committees are rewarded for their efforts with p</w:t>
      </w:r>
      <w:r>
        <w:t>romotion and salary increments" (Finkelstein,1984. p. 59). This make-or-break situation undoubtedly places a great deal of stress, strain and anxiety on early-career professors. Boyer (1990) points out that in a faculty survey, 53 percent of those under 40</w:t>
      </w:r>
      <w:r>
        <w:t xml:space="preserve"> years reported that their job was a source of  considerable strain. Early career faculty are therefore in a situation which needs careful handling if they are to succeed in their academic</w:t>
      </w:r>
      <w:r>
        <w:rPr>
          <w:spacing w:val="-6"/>
        </w:rPr>
        <w:t xml:space="preserve"> </w:t>
      </w:r>
      <w:r>
        <w:t>careers.</w:t>
      </w:r>
    </w:p>
    <w:p w:rsidR="00517715" w:rsidRDefault="00707161">
      <w:pPr>
        <w:pStyle w:val="BodyText"/>
        <w:spacing w:before="1" w:line="360" w:lineRule="auto"/>
        <w:ind w:right="117" w:firstLine="719"/>
      </w:pPr>
      <w:r>
        <w:t>Higher education institutions should thus acknowledge the unique burdens early- career faculty encounter, and take steps support them by carefully identifying their needs and taking appropriate actions. Sorcinelli (2000) suggests an improvement of the revi</w:t>
      </w:r>
      <w:r>
        <w:t>ew and tenure processes, whilst Baldwin (1990) advices institutions to provide sabbatical leaves to non-tenured junior faculty so as to provide them the opportunity to organize their research activities. Creswell and others (1990, in Wheeler, 1992), also a</w:t>
      </w:r>
      <w:r>
        <w:t>dvice that department chairpersons should pay "systematic attention" to junior faculty.</w:t>
      </w:r>
    </w:p>
    <w:p w:rsidR="00517715" w:rsidRDefault="00517715">
      <w:pPr>
        <w:pStyle w:val="BodyText"/>
        <w:spacing w:before="5"/>
        <w:ind w:left="0"/>
        <w:jc w:val="left"/>
        <w:rPr>
          <w:sz w:val="36"/>
        </w:rPr>
      </w:pPr>
    </w:p>
    <w:p w:rsidR="00517715" w:rsidRDefault="00707161">
      <w:pPr>
        <w:pStyle w:val="Heading1"/>
      </w:pPr>
      <w:r>
        <w:t>The Mid-Career Stage</w:t>
      </w:r>
    </w:p>
    <w:p w:rsidR="00517715" w:rsidRDefault="00707161">
      <w:pPr>
        <w:pStyle w:val="BodyText"/>
        <w:spacing w:before="132" w:line="360" w:lineRule="auto"/>
        <w:ind w:right="110" w:firstLine="719"/>
      </w:pPr>
      <w:r>
        <w:t>This is the period (often long) between gaining firm establishment in academia by way of securing a tenured appointment, and a point in the person</w:t>
      </w:r>
      <w:r>
        <w:t>'s life where a career disengagement process begins to set in. Baldwin (1990) indicates that the mid-career stage is often a "very productive and rewarding phase" in the academic career, as the professor at this stage would have gained academic and profess</w:t>
      </w:r>
      <w:r>
        <w:t>ional influence and reputation. This stage should therefore mark an end to the demands, dilemmas and anxieties that are characteristic of the earlier periods of one's academic life. Sadly however, the mid-career stage most often "signals the onset of a new</w:t>
      </w:r>
      <w:r>
        <w:t xml:space="preserve"> set of challenges" (Becher, 1989), as career goals begin to lose their driving quality, and interests and concerns that were suppressed during the early career years may begin to "bubble to the surface" (Baldwin, 1990). The monotonous nature of one's work</w:t>
      </w:r>
      <w:r>
        <w:t>, burnout, and worries about falling behind in one's field may also signal the onset of a career plateau. The professor at this stage thus goes through a mid-career crisis, as he/she seeks to reexamine and redefine priorities and goals. Baldwin (1990) poin</w:t>
      </w:r>
      <w:r>
        <w:t>ts out that the mid- career professor faces a psychological dilemma and begins to ask questions such</w:t>
      </w:r>
      <w:r>
        <w:rPr>
          <w:spacing w:val="-4"/>
        </w:rPr>
        <w:t xml:space="preserve"> </w:t>
      </w:r>
      <w:r>
        <w:t>as:</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ind w:left="1108" w:right="1127"/>
      </w:pPr>
      <w:r>
        <w:lastRenderedPageBreak/>
        <w:t xml:space="preserve">What should I do with the rest of </w:t>
      </w:r>
      <w:r>
        <w:rPr>
          <w:spacing w:val="2"/>
        </w:rPr>
        <w:t xml:space="preserve">my </w:t>
      </w:r>
      <w:r>
        <w:t xml:space="preserve">professional life? Do I want to continue teaching full time? Would I make a good administrator? </w:t>
      </w:r>
      <w:r>
        <w:rPr>
          <w:spacing w:val="-3"/>
        </w:rPr>
        <w:t xml:space="preserve">Is </w:t>
      </w:r>
      <w:r>
        <w:t>it too late to learn the computer? Could team teaching with a new member in our department help me catch up with new developments in my field? (p. 35)</w:t>
      </w:r>
    </w:p>
    <w:p w:rsidR="00517715" w:rsidRDefault="00517715">
      <w:pPr>
        <w:pStyle w:val="BodyText"/>
        <w:ind w:left="0"/>
        <w:jc w:val="left"/>
        <w:rPr>
          <w:sz w:val="36"/>
        </w:rPr>
      </w:pPr>
    </w:p>
    <w:p w:rsidR="00517715" w:rsidRDefault="00707161">
      <w:pPr>
        <w:pStyle w:val="BodyText"/>
        <w:spacing w:line="360" w:lineRule="auto"/>
        <w:ind w:right="115" w:firstLine="719"/>
      </w:pPr>
      <w:r>
        <w:t>Faculty who are unable to stem the storm of mid-career crisis might become disillusioned with their c</w:t>
      </w:r>
      <w:r>
        <w:t>areer and consider themselves "stuck" rather than "moving," and this could be detrimental to them as individuals and to academia at large. Kanter (1979, in Clark et al, 1986), asserts that "people who conceive themselves as among the 'moving' rather than t</w:t>
      </w:r>
      <w:r>
        <w:t>he 'stuck' in their careers will be likely to keep their aspirations high, have positive self- esteem, work hard, take appropriate risks, remain engaged in their interests …," attributes which are healthy for the individual as well as academia. Academia th</w:t>
      </w:r>
      <w:r>
        <w:t>us has an obligation to keep mid-career faculty</w:t>
      </w:r>
      <w:r>
        <w:rPr>
          <w:spacing w:val="-4"/>
        </w:rPr>
        <w:t xml:space="preserve"> </w:t>
      </w:r>
      <w:r>
        <w:t>"moving."</w:t>
      </w:r>
    </w:p>
    <w:p w:rsidR="00517715" w:rsidRDefault="00517715">
      <w:pPr>
        <w:pStyle w:val="BodyText"/>
        <w:spacing w:before="4"/>
        <w:ind w:left="0"/>
        <w:jc w:val="left"/>
        <w:rPr>
          <w:sz w:val="36"/>
        </w:rPr>
      </w:pPr>
    </w:p>
    <w:p w:rsidR="00517715" w:rsidRDefault="00707161">
      <w:pPr>
        <w:pStyle w:val="Heading1"/>
        <w:spacing w:before="1"/>
      </w:pPr>
      <w:r>
        <w:t>The Late Career Stage</w:t>
      </w:r>
    </w:p>
    <w:p w:rsidR="00517715" w:rsidRDefault="00707161">
      <w:pPr>
        <w:pStyle w:val="BodyText"/>
        <w:spacing w:before="134" w:line="360" w:lineRule="auto"/>
        <w:ind w:right="113" w:firstLine="719"/>
      </w:pPr>
      <w:r>
        <w:t>This is the last stage of the professor's career where gradual disengagement from active work occurs as he/she prepares towards retirement. In addition to simple burnout, seve</w:t>
      </w:r>
      <w:r>
        <w:t>ral developmental, structural and cognitive reasons have been advanced in attempts to explain this issue of "intellectual menopause" (Becher, 1989). However, this ought to be a gratifying period of the academic career, as the professor is not under any pre</w:t>
      </w:r>
      <w:r>
        <w:t>ssure to prove or justify his/her continued existence in academia. Nonetheless, the late-career professor still has a few issues to contend with as he/she tries to leave a legacy, whilst his/her services are still needed in teaching, advising, career guida</w:t>
      </w:r>
      <w:r>
        <w:t>nce as well as in the community at</w:t>
      </w:r>
      <w:r>
        <w:rPr>
          <w:spacing w:val="-8"/>
        </w:rPr>
        <w:t xml:space="preserve"> </w:t>
      </w:r>
      <w:r>
        <w:t>large.</w:t>
      </w:r>
    </w:p>
    <w:p w:rsidR="00517715" w:rsidRDefault="00517715">
      <w:pPr>
        <w:pStyle w:val="BodyText"/>
        <w:spacing w:before="4"/>
        <w:ind w:left="0"/>
        <w:jc w:val="left"/>
        <w:rPr>
          <w:sz w:val="36"/>
        </w:rPr>
      </w:pPr>
    </w:p>
    <w:p w:rsidR="00517715" w:rsidRDefault="00707161">
      <w:pPr>
        <w:pStyle w:val="Heading1"/>
        <w:ind w:left="1910"/>
      </w:pPr>
      <w:r>
        <w:t>INTELLECTUAL MIGRATION IN MID-CAREER</w:t>
      </w:r>
    </w:p>
    <w:p w:rsidR="00517715" w:rsidRDefault="00707161">
      <w:pPr>
        <w:spacing w:before="140"/>
        <w:ind w:left="100"/>
        <w:rPr>
          <w:b/>
          <w:sz w:val="24"/>
        </w:rPr>
      </w:pPr>
      <w:r>
        <w:rPr>
          <w:b/>
          <w:sz w:val="24"/>
        </w:rPr>
        <w:t>Causes and Challenges</w:t>
      </w:r>
    </w:p>
    <w:p w:rsidR="00517715" w:rsidRDefault="00707161">
      <w:pPr>
        <w:pStyle w:val="BodyText"/>
        <w:spacing w:before="132" w:line="360" w:lineRule="auto"/>
        <w:ind w:right="113" w:firstLine="719"/>
      </w:pPr>
      <w:r>
        <w:t>Mid-career faculty, in attempts to abate the crisis they encounter, sometimes resort to intellectual migration i.e. a shift in focus of scholarship, either to another specialism within a discipline, or to another discipline altogether. Several other factor</w:t>
      </w:r>
      <w:r>
        <w:t>s however contribute in influencing the decision to "migrate". Neapolitan (1980, p. 216), proposes the grouping of these factors into four broad categories:</w:t>
      </w:r>
    </w:p>
    <w:p w:rsidR="00517715" w:rsidRDefault="00707161">
      <w:pPr>
        <w:pStyle w:val="ListParagraph"/>
        <w:numPr>
          <w:ilvl w:val="0"/>
          <w:numId w:val="1"/>
        </w:numPr>
        <w:tabs>
          <w:tab w:val="left" w:pos="821"/>
        </w:tabs>
        <w:rPr>
          <w:i/>
          <w:sz w:val="24"/>
        </w:rPr>
      </w:pPr>
      <w:r>
        <w:rPr>
          <w:i/>
          <w:sz w:val="24"/>
        </w:rPr>
        <w:t>Factors associated with the area of origin (first</w:t>
      </w:r>
      <w:r>
        <w:rPr>
          <w:i/>
          <w:spacing w:val="-3"/>
          <w:sz w:val="24"/>
        </w:rPr>
        <w:t xml:space="preserve"> </w:t>
      </w:r>
      <w:r>
        <w:rPr>
          <w:i/>
          <w:sz w:val="24"/>
        </w:rPr>
        <w:t>occupation)</w:t>
      </w:r>
    </w:p>
    <w:p w:rsidR="00517715" w:rsidRDefault="00707161">
      <w:pPr>
        <w:pStyle w:val="ListParagraph"/>
        <w:numPr>
          <w:ilvl w:val="0"/>
          <w:numId w:val="1"/>
        </w:numPr>
        <w:tabs>
          <w:tab w:val="left" w:pos="821"/>
        </w:tabs>
        <w:spacing w:before="136"/>
        <w:rPr>
          <w:i/>
          <w:sz w:val="24"/>
        </w:rPr>
      </w:pPr>
      <w:r>
        <w:rPr>
          <w:i/>
          <w:sz w:val="24"/>
        </w:rPr>
        <w:t>Factors associated with area of desti</w:t>
      </w:r>
      <w:r>
        <w:rPr>
          <w:i/>
          <w:sz w:val="24"/>
        </w:rPr>
        <w:t>nation (second</w:t>
      </w:r>
      <w:r>
        <w:rPr>
          <w:i/>
          <w:spacing w:val="-1"/>
          <w:sz w:val="24"/>
        </w:rPr>
        <w:t xml:space="preserve"> </w:t>
      </w:r>
      <w:r>
        <w:rPr>
          <w:i/>
          <w:sz w:val="24"/>
        </w:rPr>
        <w:t>occupation)</w:t>
      </w:r>
    </w:p>
    <w:p w:rsidR="00517715" w:rsidRDefault="00517715">
      <w:pPr>
        <w:rPr>
          <w:sz w:val="24"/>
        </w:rPr>
        <w:sectPr w:rsidR="00517715">
          <w:pgSz w:w="11910" w:h="16840"/>
          <w:pgMar w:top="1340" w:right="1320" w:bottom="940" w:left="1340" w:header="727" w:footer="746" w:gutter="0"/>
          <w:cols w:space="720"/>
        </w:sectPr>
      </w:pPr>
    </w:p>
    <w:p w:rsidR="00517715" w:rsidRDefault="00707161">
      <w:pPr>
        <w:pStyle w:val="ListParagraph"/>
        <w:numPr>
          <w:ilvl w:val="0"/>
          <w:numId w:val="1"/>
        </w:numPr>
        <w:tabs>
          <w:tab w:val="left" w:pos="821"/>
        </w:tabs>
        <w:spacing w:before="80"/>
        <w:rPr>
          <w:i/>
          <w:sz w:val="24"/>
        </w:rPr>
      </w:pPr>
      <w:r>
        <w:rPr>
          <w:i/>
          <w:sz w:val="24"/>
        </w:rPr>
        <w:lastRenderedPageBreak/>
        <w:t>Personal and Institutional</w:t>
      </w:r>
      <w:r>
        <w:rPr>
          <w:i/>
          <w:spacing w:val="1"/>
          <w:sz w:val="24"/>
        </w:rPr>
        <w:t xml:space="preserve"> </w:t>
      </w:r>
      <w:r>
        <w:rPr>
          <w:i/>
          <w:sz w:val="24"/>
        </w:rPr>
        <w:t>Factors.</w:t>
      </w:r>
    </w:p>
    <w:p w:rsidR="00517715" w:rsidRDefault="00707161">
      <w:pPr>
        <w:pStyle w:val="ListParagraph"/>
        <w:numPr>
          <w:ilvl w:val="0"/>
          <w:numId w:val="1"/>
        </w:numPr>
        <w:tabs>
          <w:tab w:val="left" w:pos="821"/>
        </w:tabs>
        <w:spacing w:before="137"/>
        <w:rPr>
          <w:i/>
          <w:sz w:val="24"/>
        </w:rPr>
      </w:pPr>
      <w:r>
        <w:rPr>
          <w:i/>
          <w:sz w:val="24"/>
        </w:rPr>
        <w:t>Intervening</w:t>
      </w:r>
      <w:r>
        <w:rPr>
          <w:i/>
          <w:spacing w:val="-1"/>
          <w:sz w:val="24"/>
        </w:rPr>
        <w:t xml:space="preserve"> </w:t>
      </w:r>
      <w:r>
        <w:rPr>
          <w:i/>
          <w:sz w:val="24"/>
        </w:rPr>
        <w:t>Obstacles</w:t>
      </w:r>
    </w:p>
    <w:p w:rsidR="00517715" w:rsidRDefault="00517715">
      <w:pPr>
        <w:pStyle w:val="BodyText"/>
        <w:ind w:left="0"/>
        <w:jc w:val="left"/>
        <w:rPr>
          <w:i/>
          <w:sz w:val="26"/>
        </w:rPr>
      </w:pPr>
    </w:p>
    <w:p w:rsidR="00517715" w:rsidRDefault="00517715">
      <w:pPr>
        <w:pStyle w:val="BodyText"/>
        <w:ind w:left="0"/>
        <w:jc w:val="left"/>
        <w:rPr>
          <w:i/>
          <w:sz w:val="22"/>
        </w:rPr>
      </w:pPr>
    </w:p>
    <w:p w:rsidR="00517715" w:rsidRDefault="00707161">
      <w:pPr>
        <w:pStyle w:val="BodyText"/>
        <w:spacing w:line="360" w:lineRule="auto"/>
        <w:ind w:right="116" w:firstLine="360"/>
      </w:pPr>
      <w:r>
        <w:t>Though Neapolitan'</w:t>
      </w:r>
      <w:r>
        <w:t>s proposal is based on the attributes of careers in general, it is quite applicable to the academic career. I will therefore take a brief look at each category, but bearing in mid that intellectual migration is a human issue, and as such no single reason o</w:t>
      </w:r>
      <w:r>
        <w:t>r group of reasons will be enough to explain every such activity.</w:t>
      </w:r>
    </w:p>
    <w:p w:rsidR="00517715" w:rsidRDefault="00517715">
      <w:pPr>
        <w:pStyle w:val="BodyText"/>
        <w:spacing w:before="1"/>
        <w:ind w:left="0"/>
        <w:jc w:val="left"/>
        <w:rPr>
          <w:sz w:val="36"/>
        </w:rPr>
      </w:pPr>
    </w:p>
    <w:p w:rsidR="00517715" w:rsidRDefault="00707161">
      <w:pPr>
        <w:ind w:left="100"/>
        <w:rPr>
          <w:i/>
          <w:sz w:val="24"/>
        </w:rPr>
      </w:pPr>
      <w:r>
        <w:rPr>
          <w:i/>
          <w:sz w:val="24"/>
        </w:rPr>
        <w:t>Factors associated with the area (discipline) of origin</w:t>
      </w:r>
    </w:p>
    <w:p w:rsidR="00517715" w:rsidRDefault="00707161">
      <w:pPr>
        <w:pStyle w:val="BodyText"/>
        <w:spacing w:before="137" w:line="360" w:lineRule="auto"/>
        <w:ind w:right="117" w:firstLine="719"/>
      </w:pPr>
      <w:r>
        <w:t>Becher (1989) indicates that the way knowledge has progressed in a particular field or discipline is a factor that can influence migr</w:t>
      </w:r>
      <w:r>
        <w:t xml:space="preserve">ation. Thus in subject areas that develop rapidly (e.g. biology, physics etc. where "ten years is about the maximum life-span of a fashionable topic"), one's specialty area easily falls out of fashion, or his/her technical knowledge becomes dated, leaving </w:t>
      </w:r>
      <w:r>
        <w:t>the researcher "moldering in an intellectual backwater" (p. 173). Under these circumstances, the researcher might be compelled to consider "emigrating" either to new specialty or to a new</w:t>
      </w:r>
      <w:r>
        <w:rPr>
          <w:spacing w:val="-8"/>
        </w:rPr>
        <w:t xml:space="preserve"> </w:t>
      </w:r>
      <w:r>
        <w:t>discipline.</w:t>
      </w:r>
    </w:p>
    <w:p w:rsidR="00517715" w:rsidRDefault="00707161">
      <w:pPr>
        <w:pStyle w:val="BodyText"/>
        <w:spacing w:before="2" w:line="360" w:lineRule="auto"/>
        <w:ind w:right="118" w:firstLine="719"/>
      </w:pPr>
      <w:r>
        <w:t>Another view (Neapolitan, 1980) is that a lack of congru</w:t>
      </w:r>
      <w:r>
        <w:t>ence between a person's research orientation and the rewards of the discipline can be a source of dissatisfaction, leading the individual to seek to migrate. Thus, a researcher in biochemistry for example  who fails to get his/her work accepted and publish</w:t>
      </w:r>
      <w:r>
        <w:t>ed in recognized journals might consider channeling his/her energy and resources in another direction, maybe to</w:t>
      </w:r>
      <w:r>
        <w:rPr>
          <w:spacing w:val="-5"/>
        </w:rPr>
        <w:t xml:space="preserve"> </w:t>
      </w:r>
      <w:r>
        <w:t>biophysics.</w:t>
      </w:r>
    </w:p>
    <w:p w:rsidR="00517715" w:rsidRDefault="00517715">
      <w:pPr>
        <w:pStyle w:val="BodyText"/>
        <w:ind w:left="0"/>
        <w:jc w:val="left"/>
        <w:rPr>
          <w:sz w:val="36"/>
        </w:rPr>
      </w:pPr>
    </w:p>
    <w:p w:rsidR="00517715" w:rsidRDefault="00707161">
      <w:pPr>
        <w:spacing w:before="1"/>
        <w:ind w:left="100"/>
        <w:rPr>
          <w:i/>
          <w:sz w:val="24"/>
        </w:rPr>
      </w:pPr>
      <w:r>
        <w:rPr>
          <w:i/>
          <w:sz w:val="24"/>
        </w:rPr>
        <w:t>Factors associated with the area (discipline) of destination</w:t>
      </w:r>
    </w:p>
    <w:p w:rsidR="00517715" w:rsidRDefault="00707161">
      <w:pPr>
        <w:pStyle w:val="BodyText"/>
        <w:spacing w:before="136" w:line="360" w:lineRule="auto"/>
        <w:ind w:right="118" w:firstLine="719"/>
      </w:pPr>
      <w:r>
        <w:t>If the characteristics of the entering discipline are such that the academic can simultaneously "keep one foot in the old specialism while dipping toes in the new" (Becher, 1989), then the possibility of migration is greatly enhanced. This is because the a</w:t>
      </w:r>
      <w:r>
        <w:t>cademic in mid-career will not wish to "compound his/her problems by choosing an intellectually impenetrable area than the one with which they are already familiar" (p. 173). Migration is thus more common in the sciences where general theories can be appli</w:t>
      </w:r>
      <w:r>
        <w:t>ed across disciplines. It is more conceivable for a chemist to move to physics than a historian to do the same.</w:t>
      </w:r>
    </w:p>
    <w:p w:rsidR="00517715" w:rsidRDefault="00707161">
      <w:pPr>
        <w:pStyle w:val="BodyText"/>
        <w:spacing w:before="3" w:line="360" w:lineRule="auto"/>
        <w:ind w:right="116" w:firstLine="719"/>
      </w:pPr>
      <w:r>
        <w:t>Mulkay (1974, in Becher, 1998) also argues that intellectual migration is quite feasible if the discipline of destination is of a lower precisio</w:t>
      </w:r>
      <w:r>
        <w:t>n in comparison with the discipline of origin.</w:t>
      </w:r>
      <w:r>
        <w:rPr>
          <w:spacing w:val="50"/>
        </w:rPr>
        <w:t xml:space="preserve"> </w:t>
      </w:r>
      <w:r>
        <w:t>Thus theoretical economists readily move to become economic</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jc w:val="left"/>
      </w:pPr>
      <w:r>
        <w:lastRenderedPageBreak/>
        <w:t>historians, and cell biologists become ecologists, whilst movement in the reverse direction is quite rare.</w:t>
      </w:r>
    </w:p>
    <w:p w:rsidR="00517715" w:rsidRDefault="00707161">
      <w:pPr>
        <w:pStyle w:val="BodyText"/>
        <w:spacing w:line="360" w:lineRule="auto"/>
        <w:ind w:right="117" w:firstLine="719"/>
      </w:pPr>
      <w:r>
        <w:t xml:space="preserve">Expectancy theory (i.e. </w:t>
      </w:r>
      <w:r>
        <w:t>job choice depends on an individual's attraction to the job and his/her belief that efforts to enter the job will be successful) has been shown to be applicable to mid-career change in academia (Snyder et al, 1978). Thus, the so-called "hot" disciplines (w</w:t>
      </w:r>
      <w:r>
        <w:t>here funding is readily available), serve as an attraction to mid-career faculty who believe that with their experience and reputation, they will be able to make inroads into these disciplines, hence migration takes place.</w:t>
      </w:r>
    </w:p>
    <w:p w:rsidR="00517715" w:rsidRDefault="00517715">
      <w:pPr>
        <w:pStyle w:val="BodyText"/>
        <w:spacing w:before="10"/>
        <w:ind w:left="0"/>
        <w:jc w:val="left"/>
        <w:rPr>
          <w:sz w:val="35"/>
        </w:rPr>
      </w:pPr>
    </w:p>
    <w:p w:rsidR="00517715" w:rsidRDefault="00707161">
      <w:pPr>
        <w:spacing w:before="1"/>
        <w:ind w:left="100"/>
        <w:rPr>
          <w:i/>
          <w:sz w:val="24"/>
        </w:rPr>
      </w:pPr>
      <w:r>
        <w:rPr>
          <w:i/>
          <w:sz w:val="24"/>
        </w:rPr>
        <w:t>Personal and Institutional Facto</w:t>
      </w:r>
      <w:r>
        <w:rPr>
          <w:i/>
          <w:sz w:val="24"/>
        </w:rPr>
        <w:t>rs</w:t>
      </w:r>
    </w:p>
    <w:p w:rsidR="00517715" w:rsidRDefault="00707161">
      <w:pPr>
        <w:pStyle w:val="BodyText"/>
        <w:spacing w:before="139" w:line="360" w:lineRule="auto"/>
        <w:ind w:right="120" w:firstLine="719"/>
      </w:pPr>
      <w:r>
        <w:t>Becher (1989) contends that it is common to see individuals arriving at the conclusion that they have done all what they wanted to do in a particular specialism and it was time to move on, or that they had simply become bored with the discipline and thu</w:t>
      </w:r>
      <w:r>
        <w:t>s needed a change. Such a personal attitude towards one's disciplinary focus is enough motivation to change direction.</w:t>
      </w:r>
    </w:p>
    <w:p w:rsidR="00517715" w:rsidRDefault="00707161">
      <w:pPr>
        <w:pStyle w:val="BodyText"/>
        <w:spacing w:line="360" w:lineRule="auto"/>
        <w:ind w:right="114" w:firstLine="719"/>
      </w:pPr>
      <w:r>
        <w:t>Other personal factors such as family obligations and private life experiences might compel mid-career faculty to embark on a change in s</w:t>
      </w:r>
      <w:r>
        <w:t>pecialism or discipline. For example, for medical reasons, Robert Benson, a professor of chemistry at KSU, Ohio, was compelled to leave his laboratory and move into research in computing technology (my own</w:t>
      </w:r>
      <w:r>
        <w:rPr>
          <w:spacing w:val="-11"/>
        </w:rPr>
        <w:t xml:space="preserve"> </w:t>
      </w:r>
      <w:r>
        <w:t>sources).</w:t>
      </w:r>
    </w:p>
    <w:p w:rsidR="00517715" w:rsidRDefault="00707161">
      <w:pPr>
        <w:pStyle w:val="BodyText"/>
        <w:spacing w:line="360" w:lineRule="auto"/>
        <w:ind w:right="116" w:firstLine="719"/>
      </w:pPr>
      <w:r>
        <w:t xml:space="preserve">Institutions also contribute to faculty </w:t>
      </w:r>
      <w:r>
        <w:t>migration. For example, Ruscio (1987) points out that, in liberal arts colleges, "transcending disciplinary boundaries is not only tolerated but is encouraged". And so a political scientist in a liberal arts college declares that "Here, I can follow precis</w:t>
      </w:r>
      <w:r>
        <w:t xml:space="preserve">ely where </w:t>
      </w:r>
      <w:r>
        <w:rPr>
          <w:spacing w:val="2"/>
        </w:rPr>
        <w:t xml:space="preserve">my </w:t>
      </w:r>
      <w:r>
        <w:t>curiosities led without having to answer to anybody or feel that I was professionally imperiling myself" (AHSE Reader Series, p. 447). One's academic institution of affiliation is therefore a factor that can greatly influence one's willingness</w:t>
      </w:r>
      <w:r>
        <w:t xml:space="preserve"> and ability to</w:t>
      </w:r>
      <w:r>
        <w:rPr>
          <w:spacing w:val="-5"/>
        </w:rPr>
        <w:t xml:space="preserve"> </w:t>
      </w:r>
      <w:r>
        <w:t>migrate.</w:t>
      </w:r>
    </w:p>
    <w:p w:rsidR="00517715" w:rsidRDefault="00517715">
      <w:pPr>
        <w:pStyle w:val="BodyText"/>
        <w:ind w:left="0"/>
        <w:jc w:val="left"/>
        <w:rPr>
          <w:sz w:val="36"/>
        </w:rPr>
      </w:pPr>
    </w:p>
    <w:p w:rsidR="00517715" w:rsidRDefault="00707161">
      <w:pPr>
        <w:ind w:left="100"/>
        <w:rPr>
          <w:i/>
          <w:sz w:val="24"/>
        </w:rPr>
      </w:pPr>
      <w:r>
        <w:rPr>
          <w:i/>
          <w:sz w:val="24"/>
        </w:rPr>
        <w:t>Intervening Obstacles</w:t>
      </w:r>
    </w:p>
    <w:p w:rsidR="00517715" w:rsidRDefault="00707161">
      <w:pPr>
        <w:pStyle w:val="BodyText"/>
        <w:spacing w:before="140" w:line="360" w:lineRule="auto"/>
        <w:ind w:right="121" w:firstLine="719"/>
      </w:pPr>
      <w:r>
        <w:t>Though the above mentioned factors appear to be strongly motivating, intellectual migration is plagued with a lot of disincentives.</w:t>
      </w:r>
    </w:p>
    <w:p w:rsidR="00517715" w:rsidRDefault="00707161">
      <w:pPr>
        <w:pStyle w:val="BodyText"/>
        <w:spacing w:line="360" w:lineRule="auto"/>
        <w:ind w:right="115" w:firstLine="719"/>
      </w:pPr>
      <w:r>
        <w:t xml:space="preserve">In the first place, faculty in mid-career have already invested a considerable amount of time and effort building a reputation as well as networks in their discipline. </w:t>
      </w:r>
      <w:r>
        <w:rPr>
          <w:spacing w:val="-3"/>
        </w:rPr>
        <w:t xml:space="preserve">It </w:t>
      </w:r>
      <w:r>
        <w:t xml:space="preserve">will  therefore be with considerable difficulty to simply abandon this and start all </w:t>
      </w:r>
      <w:r>
        <w:t>over in another discipline.</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ind w:right="124" w:firstLine="719"/>
      </w:pPr>
      <w:r>
        <w:lastRenderedPageBreak/>
        <w:t>Secondly, Becher (1989) mentions the high linguistic and conceptual barriers that might accompany some disciplinary changes. The researcher might have to learn a new language or mode of discourse, replace one t</w:t>
      </w:r>
      <w:r>
        <w:t>echnical concept with another, acquire some background knowledge etc., activities which most mid-career faculty will hesitate to do.</w:t>
      </w:r>
    </w:p>
    <w:p w:rsidR="00517715" w:rsidRDefault="00707161">
      <w:pPr>
        <w:pStyle w:val="BodyText"/>
        <w:spacing w:line="360" w:lineRule="auto"/>
        <w:ind w:right="114" w:firstLine="719"/>
      </w:pPr>
      <w:r>
        <w:t>In disciplines such as the sciences where sometimes a large groups of people work on related questions, peer pressure can b</w:t>
      </w:r>
      <w:r>
        <w:t>e a strong force against migration. Becher (1989) indicates that the academic seeking to migrate might continue to receive invitations to disciplinary activities thus reinforcing his/her reputation in the discipline, and subsequently discouraging any inten</w:t>
      </w:r>
      <w:r>
        <w:t>tions to migrate.</w:t>
      </w:r>
    </w:p>
    <w:p w:rsidR="00517715" w:rsidRDefault="00707161">
      <w:pPr>
        <w:pStyle w:val="BodyText"/>
        <w:spacing w:line="360" w:lineRule="auto"/>
        <w:ind w:right="117" w:firstLine="719"/>
      </w:pPr>
      <w:r>
        <w:t>Due to all these disincentives, the practice of mid-career intellectual migration might not be a common occurrence in academia, and Snyder et al (1978), provide evidence to indicate that, "the number of people who would prefer a mid-caree</w:t>
      </w:r>
      <w:r>
        <w:t>r change far outnumber the ones who actively seek and achieve it" (p. 230). The fact that some academics do "migrate"  in mid-career indicates that the factors enumerated above (in addition to many others) cumulatively provide a motive that is strong enoug</w:t>
      </w:r>
      <w:r>
        <w:t>h to overcome these</w:t>
      </w:r>
      <w:r>
        <w:rPr>
          <w:spacing w:val="-13"/>
        </w:rPr>
        <w:t xml:space="preserve"> </w:t>
      </w:r>
      <w:r>
        <w:t>disincentives.</w:t>
      </w:r>
    </w:p>
    <w:p w:rsidR="00517715" w:rsidRDefault="00517715">
      <w:pPr>
        <w:pStyle w:val="BodyText"/>
        <w:spacing w:before="8"/>
        <w:ind w:left="0"/>
        <w:jc w:val="left"/>
        <w:rPr>
          <w:sz w:val="28"/>
        </w:rPr>
      </w:pPr>
    </w:p>
    <w:p w:rsidR="00517715" w:rsidRDefault="00707161">
      <w:pPr>
        <w:pStyle w:val="Heading1"/>
        <w:spacing w:before="90"/>
      </w:pPr>
      <w:r>
        <w:t>Effects</w:t>
      </w:r>
    </w:p>
    <w:p w:rsidR="00517715" w:rsidRDefault="00707161">
      <w:pPr>
        <w:pStyle w:val="BodyText"/>
        <w:spacing w:before="132"/>
        <w:ind w:left="820"/>
        <w:jc w:val="left"/>
      </w:pPr>
      <w:r>
        <w:t>As noted above, mid-career intellectual migration is not a phenomenon that occurs on</w:t>
      </w:r>
    </w:p>
    <w:p w:rsidR="00517715" w:rsidRDefault="00707161">
      <w:pPr>
        <w:pStyle w:val="BodyText"/>
        <w:spacing w:before="139" w:line="360" w:lineRule="auto"/>
        <w:jc w:val="left"/>
      </w:pPr>
      <w:r>
        <w:t>a large scale in academia, yet the migration of professionals of high repute can have profound effects on sub-disciplines, disciplines and academia at large.</w:t>
      </w:r>
    </w:p>
    <w:p w:rsidR="00517715" w:rsidRDefault="00707161">
      <w:pPr>
        <w:pStyle w:val="BodyText"/>
        <w:spacing w:before="1" w:line="360" w:lineRule="auto"/>
        <w:ind w:right="115" w:firstLine="719"/>
      </w:pPr>
      <w:r>
        <w:t>In the first place, the growth and development of most disciplines can be attributed to intellectu</w:t>
      </w:r>
      <w:r>
        <w:t>al mobility. Becher (1989) declares that career mobility can be a source of innovation and rapid development within a discipline because fresh ideas, concepts and technical expertise are introduced. For example, Mullins (1972, in Becher, 1998) shows that 1</w:t>
      </w:r>
      <w:r>
        <w:t>7 out of 41 scientists working on phage research in molecular biology in a particular community, were physicists and chemists by training. Their introduction of physical methods of investigation into phage research would undoubtedly have helped in breaking</w:t>
      </w:r>
      <w:r>
        <w:t xml:space="preserve"> new grounds in that biology sub-discipline.</w:t>
      </w:r>
    </w:p>
    <w:p w:rsidR="00517715" w:rsidRDefault="00707161">
      <w:pPr>
        <w:pStyle w:val="BodyText"/>
        <w:spacing w:line="360" w:lineRule="auto"/>
        <w:ind w:right="112" w:firstLine="719"/>
      </w:pPr>
      <w:r>
        <w:t xml:space="preserve">Academia also stand to benefit when potential migrants "dip toes in other disciplines" by engaging in interdisciplinary research activities. These cross disciplinary activities can result in the modification of </w:t>
      </w:r>
      <w:r>
        <w:t>established ideas and concepts, and ultimately enhance knowledge construction in the respective disciplines. Becher's (1989) identification of one Herbert Simon whose "contributions to political science and economics were complemented</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jc w:val="left"/>
      </w:pPr>
      <w:r>
        <w:lastRenderedPageBreak/>
        <w:t>by those he made to mathematics and psychology," is an indication that cross disciplinary activities can be beneficial.</w:t>
      </w:r>
    </w:p>
    <w:p w:rsidR="00517715" w:rsidRDefault="00707161">
      <w:pPr>
        <w:pStyle w:val="BodyText"/>
        <w:spacing w:line="360" w:lineRule="auto"/>
        <w:ind w:right="117" w:firstLine="719"/>
      </w:pPr>
      <w:r>
        <w:t xml:space="preserve">Intellectual migration can also create new disciplines </w:t>
      </w:r>
      <w:r w:rsidR="00CE7EB8">
        <w:t xml:space="preserve">altogether. Ben-David (1960, in </w:t>
      </w:r>
      <w:r>
        <w:t>Becher 1989) used the term "role-hybrids" to desc</w:t>
      </w:r>
      <w:r>
        <w:t>ribe the process where:</w:t>
      </w:r>
    </w:p>
    <w:p w:rsidR="00517715" w:rsidRDefault="00707161">
      <w:pPr>
        <w:pStyle w:val="BodyText"/>
        <w:spacing w:line="360" w:lineRule="auto"/>
        <w:ind w:left="1108" w:right="1127"/>
      </w:pPr>
      <w:r>
        <w:t xml:space="preserve">The individual </w:t>
      </w:r>
      <w:bookmarkStart w:id="0" w:name="_GoBack"/>
      <w:bookmarkEnd w:id="0"/>
      <w:r>
        <w:t>moving from one role to another, such as from one profession or academic field to another…may attempt to fit the methods and techniques of the old role to the materials of the new one, with the deliberate purpose of c</w:t>
      </w:r>
      <w:r>
        <w:t>reating a new role. (p. 175)</w:t>
      </w:r>
    </w:p>
    <w:p w:rsidR="00517715" w:rsidRDefault="00707161">
      <w:pPr>
        <w:pStyle w:val="BodyText"/>
        <w:spacing w:line="360" w:lineRule="auto"/>
        <w:ind w:right="139"/>
        <w:jc w:val="left"/>
      </w:pPr>
      <w:r>
        <w:t>It is therefore quite possible that most academic disciplines and sub-disciplines that we know of today, owe their origin and growth to intellectual migration.</w:t>
      </w:r>
    </w:p>
    <w:p w:rsidR="00517715" w:rsidRDefault="00707161">
      <w:pPr>
        <w:pStyle w:val="BodyText"/>
        <w:spacing w:before="1" w:line="360" w:lineRule="auto"/>
        <w:ind w:right="115" w:firstLine="719"/>
      </w:pPr>
      <w:r>
        <w:t>Intellectual migration could also bring personal satisfaction to th</w:t>
      </w:r>
      <w:r>
        <w:t>e mid-career academic as it would have contributed in the abatement of a mid-career crisis. Boyer (1990) talks of a senior professor at a research institution who, after having moved to another discipline, declares that "I have, quite frankly, felt a sense</w:t>
      </w:r>
      <w:r>
        <w:t xml:space="preserve"> of renewed purpose, energy, and usefulness in my work." (p. 51). Certainly this will translate into increased</w:t>
      </w:r>
      <w:r>
        <w:rPr>
          <w:spacing w:val="-14"/>
        </w:rPr>
        <w:t xml:space="preserve"> </w:t>
      </w:r>
      <w:r>
        <w:t>productivity.</w:t>
      </w:r>
    </w:p>
    <w:p w:rsidR="00517715" w:rsidRDefault="00707161">
      <w:pPr>
        <w:pStyle w:val="BodyText"/>
        <w:spacing w:line="360" w:lineRule="auto"/>
        <w:ind w:right="119" w:firstLine="719"/>
      </w:pPr>
      <w:r>
        <w:t>It is quite possible that intellectual migration can have a detrimental effect on some disciplines as scholars of repute "emigrate.</w:t>
      </w:r>
      <w:r>
        <w:t>" There is however limited or no evidence in the literature in support of this, probably because "emigration" is balanced by "immigration."</w:t>
      </w:r>
    </w:p>
    <w:p w:rsidR="00517715" w:rsidRDefault="00707161">
      <w:pPr>
        <w:pStyle w:val="BodyText"/>
        <w:spacing w:line="360" w:lineRule="auto"/>
        <w:ind w:right="117" w:firstLine="719"/>
      </w:pPr>
      <w:r>
        <w:t>The foregoing discussion indicates that intellectual migration can be beneficial to individuals, sub-disciplines, di</w:t>
      </w:r>
      <w:r>
        <w:t>sciplines and academia in general. It will therefore not be unreasonable for one to suggest that institutions and disciplinary communities have a role to play so that academia can reap the benefits of migration and minimize the setbacks (if any).</w:t>
      </w:r>
    </w:p>
    <w:p w:rsidR="00517715" w:rsidRDefault="00517715">
      <w:pPr>
        <w:pStyle w:val="BodyText"/>
        <w:ind w:left="0"/>
        <w:jc w:val="left"/>
        <w:rPr>
          <w:sz w:val="26"/>
        </w:rPr>
      </w:pPr>
    </w:p>
    <w:p w:rsidR="00517715" w:rsidRDefault="00517715">
      <w:pPr>
        <w:pStyle w:val="BodyText"/>
        <w:ind w:left="0"/>
        <w:jc w:val="left"/>
        <w:rPr>
          <w:sz w:val="26"/>
        </w:rPr>
      </w:pPr>
    </w:p>
    <w:p w:rsidR="00517715" w:rsidRDefault="00517715">
      <w:pPr>
        <w:pStyle w:val="BodyText"/>
        <w:spacing w:before="5"/>
        <w:ind w:left="0"/>
        <w:jc w:val="left"/>
        <w:rPr>
          <w:sz w:val="20"/>
        </w:rPr>
      </w:pPr>
    </w:p>
    <w:p w:rsidR="00517715" w:rsidRDefault="00707161">
      <w:pPr>
        <w:pStyle w:val="Heading1"/>
        <w:spacing w:before="1"/>
        <w:ind w:left="3451"/>
      </w:pPr>
      <w:r>
        <w:t>THE RO</w:t>
      </w:r>
      <w:r>
        <w:t>LE OF ACADEMIA</w:t>
      </w:r>
    </w:p>
    <w:p w:rsidR="00517715" w:rsidRDefault="00707161">
      <w:pPr>
        <w:pStyle w:val="BodyText"/>
        <w:spacing w:before="132" w:line="360" w:lineRule="auto"/>
        <w:ind w:right="112" w:firstLine="719"/>
      </w:pPr>
      <w:r>
        <w:t>The evidence so far indicate that intellectual mobility by mid-career faculty is a desirable activity and hence need to be encouraged. Several policies, structures and institutions can therefore be put in place by academia to make it reasona</w:t>
      </w:r>
      <w:r>
        <w:t>bly feasible for mid- career faculty who wish to embark on a career change to do so.</w:t>
      </w:r>
    </w:p>
    <w:p w:rsidR="00517715" w:rsidRDefault="00707161">
      <w:pPr>
        <w:pStyle w:val="BodyText"/>
        <w:spacing w:line="360" w:lineRule="auto"/>
        <w:ind w:right="110" w:firstLine="842"/>
      </w:pPr>
      <w:r>
        <w:t>In the first place, inter disciplinary rapport among faculty can be encouraged by institutionalizing inter departmental workshops and seminars, since according to Clark (1</w:t>
      </w:r>
      <w:r>
        <w:t>963, in Becher 1989), faculty in different disciplines have "few things in common [and thus] have less impulse to interact and less ability to do so" (p. 23). Faculty from different disciplines</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jc w:val="left"/>
      </w:pPr>
      <w:r>
        <w:lastRenderedPageBreak/>
        <w:t>can therefore meet periodically to share research ideas and experiences, a first step towards intellectual migration.</w:t>
      </w:r>
    </w:p>
    <w:p w:rsidR="00517715" w:rsidRDefault="00707161">
      <w:pPr>
        <w:pStyle w:val="BodyText"/>
        <w:spacing w:line="360" w:lineRule="auto"/>
        <w:ind w:right="109" w:firstLine="719"/>
      </w:pPr>
      <w:r>
        <w:t>Secondly, mid-career faculty wishing to embark on intellectual migration will surely need a lot of time to enable them carry out meaningfu</w:t>
      </w:r>
      <w:r>
        <w:t>l activities in other subfields or disciplines. Reduced teaching and administrative roles as well as sabbatical leaves and leaves without pay, will therefore be of immense assistance to them.</w:t>
      </w:r>
    </w:p>
    <w:p w:rsidR="00517715" w:rsidRDefault="00707161">
      <w:pPr>
        <w:pStyle w:val="BodyText"/>
        <w:spacing w:line="360" w:lineRule="auto"/>
        <w:ind w:right="114" w:firstLine="719"/>
      </w:pPr>
      <w:r>
        <w:t>Academia should also be open to new ideas by allowing mid-career</w:t>
      </w:r>
      <w:r>
        <w:t xml:space="preserve"> professors the flexibility to transcend disciplinary boundaries, and recognizing their output from activities that are not directly related to their assigned academic duties. As the professor goes through mid-career crisis, he/she is likely to begin tryin</w:t>
      </w:r>
      <w:r>
        <w:t>g out new ideas, and institutions should be prepared to shoulder some risks by encouraging them to do so.</w:t>
      </w:r>
    </w:p>
    <w:p w:rsidR="00517715" w:rsidRDefault="00707161">
      <w:pPr>
        <w:pStyle w:val="BodyText"/>
        <w:spacing w:line="360" w:lineRule="auto"/>
        <w:ind w:right="120" w:firstLine="719"/>
      </w:pPr>
      <w:r>
        <w:t>Mid-career faculty can also be resourced financially with independent study grants and also technically with training workshops (computer etc) so they</w:t>
      </w:r>
      <w:r>
        <w:t xml:space="preserve"> can be better equipped to diversify their research</w:t>
      </w:r>
      <w:r>
        <w:rPr>
          <w:spacing w:val="-6"/>
        </w:rPr>
        <w:t xml:space="preserve"> </w:t>
      </w:r>
      <w:r>
        <w:t>activities.</w:t>
      </w:r>
    </w:p>
    <w:p w:rsidR="00517715" w:rsidRDefault="00707161">
      <w:pPr>
        <w:pStyle w:val="BodyText"/>
        <w:spacing w:before="1" w:line="360" w:lineRule="auto"/>
        <w:ind w:right="116" w:firstLine="719"/>
      </w:pPr>
      <w:r>
        <w:t xml:space="preserve">The developmental needs of faculty should also be addressed through the introduction of faculty development programs (in situations where </w:t>
      </w:r>
      <w:r>
        <w:rPr>
          <w:spacing w:val="2"/>
        </w:rPr>
        <w:t xml:space="preserve">they </w:t>
      </w:r>
      <w:r>
        <w:t xml:space="preserve">do not exist), and tailor these programs towards </w:t>
      </w:r>
      <w:r>
        <w:t>the specific needs and concerns of each individual faculty. Persons who feel "stuck" in their careers can therefore be targeted and advised</w:t>
      </w:r>
      <w:r>
        <w:rPr>
          <w:spacing w:val="-7"/>
        </w:rPr>
        <w:t xml:space="preserve"> </w:t>
      </w:r>
      <w:r>
        <w:t>appropriately.</w:t>
      </w:r>
    </w:p>
    <w:p w:rsidR="00517715" w:rsidRDefault="00707161">
      <w:pPr>
        <w:pStyle w:val="BodyText"/>
        <w:ind w:left="820"/>
        <w:jc w:val="left"/>
      </w:pPr>
      <w:r>
        <w:t>The following quotation from Boyer (1990) sums up this discussion:</w:t>
      </w:r>
    </w:p>
    <w:p w:rsidR="00517715" w:rsidRDefault="00707161">
      <w:pPr>
        <w:pStyle w:val="BodyText"/>
        <w:spacing w:before="137" w:line="360" w:lineRule="auto"/>
        <w:ind w:left="1108" w:right="1127"/>
      </w:pPr>
      <w:r>
        <w:t>The potential benefit of a flexibl</w:t>
      </w:r>
      <w:r>
        <w:t xml:space="preserve">e career path was revealed in a comment we received from a senior professor at a research institution: "A few years ago, I felt much differently about </w:t>
      </w:r>
      <w:r>
        <w:rPr>
          <w:spacing w:val="2"/>
        </w:rPr>
        <w:t xml:space="preserve">my </w:t>
      </w:r>
      <w:r>
        <w:t>work and institution as I do now. I would have answered your questions on morale and career change neg</w:t>
      </w:r>
      <w:r>
        <w:t xml:space="preserve">atively then. But my school gave me the time, room and encouragement to move in new directions. In my case, I am now directing new writing programs campus wide and introducing new concepts like computer-assisted instruction in writing across curriculum. I </w:t>
      </w:r>
      <w:r>
        <w:t>have, quite frankly, felt a sense of renewed purpose, energy, and usefulness in my work. I hope that other institutions are as flexible and open to new ideas as mine." (p.</w:t>
      </w:r>
      <w:r>
        <w:rPr>
          <w:spacing w:val="1"/>
        </w:rPr>
        <w:t xml:space="preserve"> </w:t>
      </w:r>
      <w:r>
        <w:t>51)</w:t>
      </w:r>
    </w:p>
    <w:p w:rsidR="00517715" w:rsidRDefault="00517715">
      <w:pPr>
        <w:pStyle w:val="BodyText"/>
        <w:spacing w:before="6"/>
        <w:ind w:left="0"/>
        <w:jc w:val="left"/>
        <w:rPr>
          <w:sz w:val="36"/>
        </w:rPr>
      </w:pPr>
    </w:p>
    <w:p w:rsidR="00517715" w:rsidRDefault="00707161">
      <w:pPr>
        <w:pStyle w:val="Heading1"/>
        <w:ind w:left="3801"/>
      </w:pPr>
      <w:r>
        <w:t>CONCLUSION</w:t>
      </w:r>
    </w:p>
    <w:p w:rsidR="00517715" w:rsidRDefault="00707161">
      <w:pPr>
        <w:pStyle w:val="BodyText"/>
        <w:spacing w:before="135" w:line="360" w:lineRule="auto"/>
        <w:ind w:right="123" w:firstLine="719"/>
      </w:pPr>
      <w:r>
        <w:t xml:space="preserve">The typical career of a college professor evolves through four main </w:t>
      </w:r>
      <w:r>
        <w:t>stages in consonance with age and experience, with each stage being characterized by its unique</w:t>
      </w:r>
    </w:p>
    <w:p w:rsidR="00517715" w:rsidRDefault="00517715">
      <w:pPr>
        <w:spacing w:line="360" w:lineRule="auto"/>
        <w:sectPr w:rsidR="00517715">
          <w:pgSz w:w="11910" w:h="16840"/>
          <w:pgMar w:top="1340" w:right="1320" w:bottom="940" w:left="1340" w:header="727" w:footer="746" w:gutter="0"/>
          <w:cols w:space="720"/>
        </w:sectPr>
      </w:pPr>
    </w:p>
    <w:p w:rsidR="00517715" w:rsidRDefault="00707161">
      <w:pPr>
        <w:pStyle w:val="BodyText"/>
        <w:spacing w:before="80" w:line="360" w:lineRule="auto"/>
        <w:ind w:right="114"/>
      </w:pPr>
      <w:r>
        <w:lastRenderedPageBreak/>
        <w:t>developmental issues and challenges. Having survived the rigorous expectations of academia and securing a professional reputation and permanen</w:t>
      </w:r>
      <w:r>
        <w:t>t appointment, some professors still encounter a crisis so powerful enough to make them consider a career or disciplinary change. This disciplinary change however has been found in most cases, to be quite beneficial to academia as individuals are motivated</w:t>
      </w:r>
      <w:r>
        <w:t>, disciplinary activities are enhanced and some new disciplines are created. It will therefore be in the interest of academia to put policies and practices in place not only to address the developmental needs of faculty at the various stages of their caree</w:t>
      </w:r>
      <w:r>
        <w:t>rs, but also to encourage faculty who seek a disciplinary change to do so.</w:t>
      </w:r>
    </w:p>
    <w:p w:rsidR="00517715" w:rsidRDefault="00707161">
      <w:pPr>
        <w:pStyle w:val="BodyText"/>
        <w:spacing w:line="360" w:lineRule="auto"/>
        <w:ind w:right="117" w:firstLine="719"/>
      </w:pPr>
      <w:r>
        <w:t>However, simply putting developmental programs in place might not be enough to give the desired impact. We need to learn more about the complex issue of adult  development so we do not oversimplify it, and also how institutional and disciplinary structures</w:t>
      </w:r>
      <w:r>
        <w:t xml:space="preserve"> and activities affect faculty morale and vitality, particularly those in mid-career. More comprehensive research is therefore necessary in this direction so we can fashion out the appropriate frameworks that will adequately address these issues so academi</w:t>
      </w:r>
      <w:r>
        <w:t>a can play its expected role in</w:t>
      </w:r>
      <w:r>
        <w:rPr>
          <w:spacing w:val="-1"/>
        </w:rPr>
        <w:t xml:space="preserve"> </w:t>
      </w:r>
      <w:r>
        <w:t>society.</w:t>
      </w:r>
    </w:p>
    <w:p w:rsidR="00517715" w:rsidRDefault="00517715">
      <w:pPr>
        <w:pStyle w:val="BodyText"/>
        <w:spacing w:before="6"/>
        <w:ind w:left="0"/>
        <w:jc w:val="left"/>
        <w:rPr>
          <w:sz w:val="36"/>
        </w:rPr>
      </w:pPr>
    </w:p>
    <w:p w:rsidR="00517715" w:rsidRDefault="00707161">
      <w:pPr>
        <w:pStyle w:val="Heading1"/>
        <w:ind w:left="3667"/>
      </w:pPr>
      <w:r>
        <w:t>BIBLIOGRAPHY</w:t>
      </w:r>
    </w:p>
    <w:p w:rsidR="00517715" w:rsidRDefault="00707161">
      <w:pPr>
        <w:pStyle w:val="BodyText"/>
        <w:spacing w:before="129"/>
        <w:ind w:right="112"/>
      </w:pPr>
      <w:r>
        <w:t>Alstete, Jeffrey (2000). Posttenure Faculty Development: Building a System for Faculty Improvement and Appreciation. San Francisco: Jossey-Bass Publishers.</w:t>
      </w:r>
    </w:p>
    <w:p w:rsidR="00517715" w:rsidRDefault="00517715">
      <w:pPr>
        <w:pStyle w:val="BodyText"/>
        <w:spacing w:before="1"/>
        <w:ind w:left="0"/>
        <w:jc w:val="left"/>
      </w:pPr>
    </w:p>
    <w:p w:rsidR="00517715" w:rsidRDefault="00707161">
      <w:pPr>
        <w:pStyle w:val="BodyText"/>
        <w:ind w:right="126"/>
      </w:pPr>
      <w:r>
        <w:t xml:space="preserve">Baldwin, R. G. and Blackburn, R. T. (1981). </w:t>
      </w:r>
      <w:r>
        <w:t xml:space="preserve">"The Academic Career as a Development Process: Implications for Higher Education." </w:t>
      </w:r>
      <w:r>
        <w:rPr>
          <w:i/>
        </w:rPr>
        <w:t xml:space="preserve">Journal of Higher Education </w:t>
      </w:r>
      <w:r>
        <w:t>52(6), 598-614</w:t>
      </w:r>
    </w:p>
    <w:p w:rsidR="00517715" w:rsidRDefault="00517715">
      <w:pPr>
        <w:pStyle w:val="BodyText"/>
        <w:ind w:left="0"/>
        <w:jc w:val="left"/>
      </w:pPr>
    </w:p>
    <w:p w:rsidR="00517715" w:rsidRDefault="00707161">
      <w:pPr>
        <w:pStyle w:val="BodyText"/>
        <w:ind w:right="119"/>
      </w:pPr>
      <w:r>
        <w:t xml:space="preserve">Becher, Tony. (1989). "Academic Careers." In </w:t>
      </w:r>
      <w:r>
        <w:rPr>
          <w:u w:val="single"/>
        </w:rPr>
        <w:t>Faculty and Faculty Issues in Colleges and</w:t>
      </w:r>
      <w:r>
        <w:t xml:space="preserve"> </w:t>
      </w:r>
      <w:r>
        <w:rPr>
          <w:u w:val="single"/>
        </w:rPr>
        <w:t>Universities</w:t>
      </w:r>
      <w:r>
        <w:t>. 2nd edition, ASHE Reader Series, eds. Finnigan Dorothy, David Webster and Zelda Gamson. Needham Heights, MA: Simon and Schuster Custom Publishing. 1996.</w:t>
      </w:r>
    </w:p>
    <w:p w:rsidR="00517715" w:rsidRDefault="00517715">
      <w:pPr>
        <w:pStyle w:val="BodyText"/>
        <w:ind w:left="0"/>
        <w:jc w:val="left"/>
      </w:pPr>
    </w:p>
    <w:p w:rsidR="00517715" w:rsidRDefault="00707161">
      <w:pPr>
        <w:pStyle w:val="BodyText"/>
        <w:ind w:right="121"/>
      </w:pPr>
      <w:r>
        <w:t xml:space="preserve">Becher, Tony. (1989). </w:t>
      </w:r>
      <w:r>
        <w:rPr>
          <w:u w:val="single"/>
        </w:rPr>
        <w:t>Academic Tribes and Territories: Intellectual Enquiry and the</w:t>
      </w:r>
      <w:r>
        <w:t xml:space="preserve">  </w:t>
      </w:r>
      <w:r>
        <w:rPr>
          <w:u w:val="single"/>
        </w:rPr>
        <w:t>Cultures of Dis</w:t>
      </w:r>
      <w:r>
        <w:rPr>
          <w:u w:val="single"/>
        </w:rPr>
        <w:t>ciplines</w:t>
      </w:r>
      <w:r>
        <w:t>. Buckingham: The Society for Research into Higher Education and Open University</w:t>
      </w:r>
      <w:r>
        <w:rPr>
          <w:spacing w:val="-5"/>
        </w:rPr>
        <w:t xml:space="preserve"> </w:t>
      </w:r>
      <w:r>
        <w:t>Press.</w:t>
      </w:r>
    </w:p>
    <w:p w:rsidR="00517715" w:rsidRDefault="00517715">
      <w:pPr>
        <w:pStyle w:val="BodyText"/>
        <w:ind w:left="0"/>
        <w:jc w:val="left"/>
      </w:pPr>
    </w:p>
    <w:p w:rsidR="00517715" w:rsidRDefault="00707161">
      <w:pPr>
        <w:pStyle w:val="BodyText"/>
        <w:ind w:right="118"/>
      </w:pPr>
      <w:r>
        <w:t xml:space="preserve">Boice, Robert (1986). "Faculty Development via Field Programs for Middle-Aged, Disillusioned Faculty." </w:t>
      </w:r>
      <w:r>
        <w:rPr>
          <w:i/>
        </w:rPr>
        <w:t xml:space="preserve">Research in Higher Education </w:t>
      </w:r>
      <w:r>
        <w:t>25(2), 115-135</w:t>
      </w:r>
    </w:p>
    <w:p w:rsidR="00517715" w:rsidRDefault="00517715">
      <w:pPr>
        <w:pStyle w:val="BodyText"/>
        <w:spacing w:before="1"/>
        <w:ind w:left="0"/>
        <w:jc w:val="left"/>
      </w:pPr>
    </w:p>
    <w:p w:rsidR="00517715" w:rsidRDefault="00707161">
      <w:pPr>
        <w:pStyle w:val="BodyText"/>
        <w:ind w:right="116"/>
      </w:pPr>
      <w:r>
        <w:t>Boyer, Erne</w:t>
      </w:r>
      <w:r>
        <w:t xml:space="preserve">st L. (1990). </w:t>
      </w:r>
      <w:r>
        <w:rPr>
          <w:u w:val="single"/>
        </w:rPr>
        <w:t>Scholarship Reconsidered: Priorities of the Professoriate</w:t>
      </w:r>
      <w:r>
        <w:t xml:space="preserve"> Carnegie Foundation for the Advancement of Teaching.</w:t>
      </w:r>
    </w:p>
    <w:p w:rsidR="00517715" w:rsidRDefault="00517715">
      <w:pPr>
        <w:pStyle w:val="BodyText"/>
        <w:ind w:left="0"/>
        <w:jc w:val="left"/>
      </w:pPr>
    </w:p>
    <w:p w:rsidR="00517715" w:rsidRDefault="00707161">
      <w:pPr>
        <w:pStyle w:val="BodyText"/>
        <w:ind w:right="122"/>
      </w:pPr>
      <w:r>
        <w:t xml:space="preserve">Clark, S. M., Corcoran, M. and Lewis, D. R. (1986). "The Case for an Institutional Perspective on Faculty Development." </w:t>
      </w:r>
      <w:r>
        <w:rPr>
          <w:i/>
        </w:rPr>
        <w:t>Journal of</w:t>
      </w:r>
      <w:r>
        <w:rPr>
          <w:i/>
        </w:rPr>
        <w:t xml:space="preserve"> Higher Education </w:t>
      </w:r>
      <w:r>
        <w:t>57(2), 176-195</w:t>
      </w:r>
    </w:p>
    <w:p w:rsidR="00517715" w:rsidRDefault="00517715">
      <w:pPr>
        <w:pStyle w:val="BodyText"/>
        <w:ind w:left="0"/>
        <w:jc w:val="left"/>
      </w:pPr>
    </w:p>
    <w:p w:rsidR="00517715" w:rsidRDefault="00707161">
      <w:pPr>
        <w:pStyle w:val="BodyText"/>
        <w:ind w:right="121"/>
      </w:pPr>
      <w:r>
        <w:t xml:space="preserve">Finkelstein, M. J., (1984). </w:t>
      </w:r>
      <w:r>
        <w:rPr>
          <w:u w:val="single"/>
        </w:rPr>
        <w:t>The American Academic Profession: A Synthesis of Social</w:t>
      </w:r>
      <w:r>
        <w:t xml:space="preserve"> </w:t>
      </w:r>
      <w:r>
        <w:rPr>
          <w:u w:val="single"/>
        </w:rPr>
        <w:t>Scientific Inquiry since World War II</w:t>
      </w:r>
      <w:r>
        <w:t>. Columbus: Ohio State University Press.</w:t>
      </w:r>
    </w:p>
    <w:p w:rsidR="00517715" w:rsidRDefault="00517715">
      <w:pPr>
        <w:sectPr w:rsidR="00517715">
          <w:pgSz w:w="11910" w:h="16840"/>
          <w:pgMar w:top="1340" w:right="1320" w:bottom="940" w:left="1340" w:header="727" w:footer="746" w:gutter="0"/>
          <w:cols w:space="720"/>
        </w:sectPr>
      </w:pPr>
    </w:p>
    <w:p w:rsidR="00517715" w:rsidRDefault="00CE7EB8">
      <w:pPr>
        <w:pStyle w:val="BodyText"/>
        <w:spacing w:before="11"/>
        <w:ind w:left="0"/>
        <w:jc w:val="left"/>
        <w:rPr>
          <w:sz w:val="22"/>
        </w:rPr>
      </w:pPr>
      <w:r>
        <w:rPr>
          <w:noProof/>
          <w:lang w:bidi="ar-SA"/>
        </w:rPr>
        <w:lastRenderedPageBreak/>
        <mc:AlternateContent>
          <mc:Choice Requires="wps">
            <w:drawing>
              <wp:anchor distT="0" distB="0" distL="114300" distR="114300" simplePos="0" relativeHeight="1024" behindDoc="0" locked="0" layoutInCell="1" allowOverlap="1">
                <wp:simplePos x="0" y="0"/>
                <wp:positionH relativeFrom="page">
                  <wp:posOffset>914400</wp:posOffset>
                </wp:positionH>
                <wp:positionV relativeFrom="page">
                  <wp:posOffset>5581650</wp:posOffset>
                </wp:positionV>
                <wp:extent cx="5943600" cy="0"/>
                <wp:effectExtent l="9525"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74A72"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39.5pt" to="540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eo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">
                <w10:wrap anchorx="page" anchory="page"/>
              </v:line>
            </w:pict>
          </mc:Fallback>
        </mc:AlternateContent>
      </w:r>
    </w:p>
    <w:p w:rsidR="00517715" w:rsidRDefault="00707161">
      <w:pPr>
        <w:spacing w:before="90"/>
        <w:ind w:left="100" w:right="113"/>
        <w:jc w:val="both"/>
        <w:rPr>
          <w:sz w:val="24"/>
        </w:rPr>
      </w:pPr>
      <w:r>
        <w:rPr>
          <w:sz w:val="24"/>
        </w:rPr>
        <w:t>Neapolitan, Jerome (1980). "</w:t>
      </w:r>
      <w:r>
        <w:rPr>
          <w:sz w:val="24"/>
        </w:rPr>
        <w:t xml:space="preserve">Occupational Change in Mid-Career: An Exploratory Investigation. </w:t>
      </w:r>
      <w:r>
        <w:rPr>
          <w:i/>
          <w:sz w:val="24"/>
        </w:rPr>
        <w:t xml:space="preserve">Journal of Vocational Behavior </w:t>
      </w:r>
      <w:r>
        <w:rPr>
          <w:sz w:val="24"/>
        </w:rPr>
        <w:t>16, 212-225</w:t>
      </w:r>
    </w:p>
    <w:p w:rsidR="00517715" w:rsidRDefault="00517715">
      <w:pPr>
        <w:pStyle w:val="BodyText"/>
        <w:spacing w:before="11"/>
        <w:ind w:left="0"/>
        <w:jc w:val="left"/>
        <w:rPr>
          <w:sz w:val="23"/>
        </w:rPr>
      </w:pPr>
    </w:p>
    <w:p w:rsidR="00517715" w:rsidRDefault="00707161">
      <w:pPr>
        <w:pStyle w:val="BodyText"/>
        <w:ind w:right="116"/>
      </w:pPr>
      <w:r>
        <w:t xml:space="preserve">Reynolds, Anne. (1992). "Charting the Changes in Junior Faculty: Relationships Among Socialization, Acculturation, and Gender." In </w:t>
      </w:r>
      <w:r>
        <w:rPr>
          <w:u w:val="single"/>
        </w:rPr>
        <w:t>Faculty and Facu</w:t>
      </w:r>
      <w:r>
        <w:rPr>
          <w:u w:val="single"/>
        </w:rPr>
        <w:t>lty Issues in Colleges and</w:t>
      </w:r>
      <w:r>
        <w:t xml:space="preserve"> </w:t>
      </w:r>
      <w:r>
        <w:rPr>
          <w:u w:val="single"/>
        </w:rPr>
        <w:t>Universities</w:t>
      </w:r>
      <w:r>
        <w:t>. 2nd edition, ASHE Reader Series, eds. Finnigan Dorothy, David Webster and Zelda Gamson. Needham Heights, MA: Simon and Schuster Custom Publishing. 1996.</w:t>
      </w:r>
    </w:p>
    <w:p w:rsidR="00517715" w:rsidRDefault="00517715">
      <w:pPr>
        <w:pStyle w:val="BodyText"/>
        <w:ind w:left="0"/>
        <w:jc w:val="left"/>
      </w:pPr>
    </w:p>
    <w:p w:rsidR="00517715" w:rsidRDefault="00707161">
      <w:pPr>
        <w:pStyle w:val="BodyText"/>
        <w:ind w:right="113"/>
      </w:pPr>
      <w:r>
        <w:t>Ruscio, Kenneth P (1987). "The Distinctive Scholarship of the</w:t>
      </w:r>
      <w:r>
        <w:t xml:space="preserve"> Selective Liberal Arts College." In </w:t>
      </w:r>
      <w:r>
        <w:rPr>
          <w:u w:val="single"/>
        </w:rPr>
        <w:t>Faculty and Faculty Issues in Colleges and Universities</w:t>
      </w:r>
      <w:r>
        <w:t>. 2nd edition, ASHE Reader Series, eds. Finnigan Dorothy, David Webster and Zelda Gamson. Needham Heights, MA: Simon and Schuster Custom Publishing. 1996.</w:t>
      </w:r>
    </w:p>
    <w:p w:rsidR="00517715" w:rsidRDefault="00517715">
      <w:pPr>
        <w:pStyle w:val="BodyText"/>
        <w:ind w:left="0"/>
        <w:jc w:val="left"/>
      </w:pPr>
    </w:p>
    <w:p w:rsidR="00517715" w:rsidRDefault="00707161">
      <w:pPr>
        <w:pStyle w:val="BodyText"/>
        <w:ind w:right="120"/>
      </w:pPr>
      <w:r>
        <w:t>Schuster</w:t>
      </w:r>
      <w:r>
        <w:t xml:space="preserve">, J. H., Wheeler, D. W. &amp; Associates. (1990). </w:t>
      </w:r>
      <w:r>
        <w:rPr>
          <w:u w:val="single"/>
        </w:rPr>
        <w:t>Enhancing Faculty Careers: Strategies</w:t>
      </w:r>
      <w:r>
        <w:t xml:space="preserve"> </w:t>
      </w:r>
      <w:r>
        <w:rPr>
          <w:u w:val="single"/>
        </w:rPr>
        <w:t>for Development and Renewal</w:t>
      </w:r>
      <w:r>
        <w:t>. San Francisco: Jossey-Bass Publishers.</w:t>
      </w:r>
    </w:p>
    <w:p w:rsidR="00517715" w:rsidRDefault="00517715">
      <w:pPr>
        <w:pStyle w:val="BodyText"/>
        <w:spacing w:before="3"/>
        <w:ind w:left="0"/>
        <w:jc w:val="left"/>
        <w:rPr>
          <w:sz w:val="16"/>
        </w:rPr>
      </w:pPr>
    </w:p>
    <w:p w:rsidR="00517715" w:rsidRDefault="00707161">
      <w:pPr>
        <w:pStyle w:val="BodyText"/>
        <w:spacing w:before="90"/>
        <w:ind w:right="139"/>
        <w:jc w:val="left"/>
      </w:pPr>
      <w:r>
        <w:t>Snyder, R. A., Howard, A. and Hammer, T. H. (1978). "Mid-Career Change in Academia: The Decision to Bec</w:t>
      </w:r>
      <w:r>
        <w:t xml:space="preserve">ome an Administrator." </w:t>
      </w:r>
      <w:r>
        <w:rPr>
          <w:i/>
        </w:rPr>
        <w:t xml:space="preserve">Journal of Vocational Behavior </w:t>
      </w:r>
      <w:r>
        <w:t>13, 229-241.</w:t>
      </w:r>
    </w:p>
    <w:p w:rsidR="00517715" w:rsidRDefault="00517715">
      <w:pPr>
        <w:pStyle w:val="BodyText"/>
        <w:ind w:left="0"/>
        <w:jc w:val="left"/>
      </w:pPr>
    </w:p>
    <w:p w:rsidR="00517715" w:rsidRDefault="00707161">
      <w:pPr>
        <w:pStyle w:val="BodyText"/>
        <w:ind w:right="139"/>
        <w:jc w:val="left"/>
      </w:pPr>
      <w:r>
        <w:t>Sorcinelli, Mary Deane (2000) "Principles of Good Practice: Supporting Early-Career Faculty,"</w:t>
      </w:r>
    </w:p>
    <w:p w:rsidR="00517715" w:rsidRDefault="00707161">
      <w:pPr>
        <w:pStyle w:val="BodyText"/>
        <w:ind w:right="139"/>
        <w:jc w:val="left"/>
      </w:pPr>
      <w:r>
        <w:t>American Association for Higher Education. Washington DC. Retrieved on December 6, 2002 f</w:t>
      </w:r>
      <w:hyperlink r:id="rId9">
        <w:r>
          <w:t>rom: http://www.aahe.org/ffrr/principles_brochure2.htm</w:t>
        </w:r>
      </w:hyperlink>
    </w:p>
    <w:sectPr w:rsidR="00517715">
      <w:pgSz w:w="11910" w:h="16840"/>
      <w:pgMar w:top="1340" w:right="1320" w:bottom="940" w:left="1340" w:header="727"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61" w:rsidRDefault="00707161">
      <w:r>
        <w:separator/>
      </w:r>
    </w:p>
  </w:endnote>
  <w:endnote w:type="continuationSeparator" w:id="0">
    <w:p w:rsidR="00707161" w:rsidRDefault="0070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5" w:rsidRDefault="00CE7EB8">
    <w:pPr>
      <w:pStyle w:val="BodyText"/>
      <w:spacing w:line="14" w:lineRule="auto"/>
      <w:ind w:left="0"/>
      <w:jc w:val="left"/>
      <w:rPr>
        <w:sz w:val="20"/>
      </w:rPr>
    </w:pPr>
    <w:r>
      <w:rPr>
        <w:noProof/>
        <w:lang w:bidi="ar-SA"/>
      </w:rPr>
      <mc:AlternateContent>
        <mc:Choice Requires="wps">
          <w:drawing>
            <wp:anchor distT="0" distB="0" distL="114300" distR="114300" simplePos="0" relativeHeight="503310680" behindDoc="1" locked="0" layoutInCell="1" allowOverlap="1">
              <wp:simplePos x="0" y="0"/>
              <wp:positionH relativeFrom="page">
                <wp:posOffset>2143125</wp:posOffset>
              </wp:positionH>
              <wp:positionV relativeFrom="page">
                <wp:posOffset>10076180</wp:posOffset>
              </wp:positionV>
              <wp:extent cx="305054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715" w:rsidRDefault="00707161">
                          <w:pPr>
                            <w:spacing w:before="10"/>
                            <w:ind w:left="20"/>
                            <w:rPr>
                              <w:i/>
                              <w:sz w:val="20"/>
                            </w:rPr>
                          </w:pPr>
                          <w:r>
                            <w:rPr>
                              <w:i/>
                              <w:sz w:val="20"/>
                            </w:rPr>
                            <w:t>ORLD 5527 - The Professoriate (Fall 2002) - Term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8.75pt;margin-top:793.4pt;width:240.2pt;height:13.0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JJ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M68yItCOCrgzJ9Hi1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" filled="f" stroked="f">
              <v:textbox inset="0,0,0,0">
                <w:txbxContent>
                  <w:p w:rsidR="00517715" w:rsidRDefault="00707161">
                    <w:pPr>
                      <w:spacing w:before="10"/>
                      <w:ind w:left="20"/>
                      <w:rPr>
                        <w:i/>
                        <w:sz w:val="20"/>
                      </w:rPr>
                    </w:pPr>
                    <w:r>
                      <w:rPr>
                        <w:i/>
                        <w:sz w:val="20"/>
                      </w:rPr>
                      <w:t>ORLD 5527 - The Professoriate (Fall 2002) - Term Paper</w:t>
                    </w:r>
                  </w:p>
                </w:txbxContent>
              </v:textbox>
              <w10:wrap anchorx="page" anchory="page"/>
            </v:shape>
          </w:pict>
        </mc:Fallback>
      </mc:AlternateContent>
    </w:r>
    <w:r>
      <w:rPr>
        <w:noProof/>
        <w:lang w:bidi="ar-SA"/>
      </w:rPr>
      <mc:AlternateContent>
        <mc:Choice Requires="wps">
          <w:drawing>
            <wp:anchor distT="0" distB="0" distL="114300" distR="114300" simplePos="0" relativeHeight="503310704" behindDoc="1" locked="0" layoutInCell="1" allowOverlap="1">
              <wp:simplePos x="0" y="0"/>
              <wp:positionH relativeFrom="page">
                <wp:posOffset>6131560</wp:posOffset>
              </wp:positionH>
              <wp:positionV relativeFrom="page">
                <wp:posOffset>10079990</wp:posOffset>
              </wp:positionV>
              <wp:extent cx="53975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715" w:rsidRDefault="00707161">
                          <w:pPr>
                            <w:spacing w:before="10"/>
                            <w:ind w:left="20"/>
                            <w:rPr>
                              <w:b/>
                              <w:sz w:val="24"/>
                            </w:rPr>
                          </w:pPr>
                          <w:r>
                            <w:rPr>
                              <w:b/>
                              <w:sz w:val="24"/>
                            </w:rPr>
                            <w:t xml:space="preserve">Page </w:t>
                          </w:r>
                          <w:r>
                            <w:fldChar w:fldCharType="begin"/>
                          </w:r>
                          <w:r>
                            <w:rPr>
                              <w:b/>
                              <w:sz w:val="24"/>
                            </w:rPr>
                            <w:instrText xml:space="preserve"> PAGE </w:instrText>
                          </w:r>
                          <w:r>
                            <w:fldChar w:fldCharType="separate"/>
                          </w:r>
                          <w:r w:rsidR="00CE7EB8">
                            <w:rPr>
                              <w:b/>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82.8pt;margin-top:793.7pt;width:42.5pt;height:15.3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" filled="f" stroked="f">
              <v:textbox inset="0,0,0,0">
                <w:txbxContent>
                  <w:p w:rsidR="00517715" w:rsidRDefault="00707161">
                    <w:pPr>
                      <w:spacing w:before="10"/>
                      <w:ind w:left="20"/>
                      <w:rPr>
                        <w:b/>
                        <w:sz w:val="24"/>
                      </w:rPr>
                    </w:pPr>
                    <w:r>
                      <w:rPr>
                        <w:b/>
                        <w:sz w:val="24"/>
                      </w:rPr>
                      <w:t xml:space="preserve">Page </w:t>
                    </w:r>
                    <w:r>
                      <w:fldChar w:fldCharType="begin"/>
                    </w:r>
                    <w:r>
                      <w:rPr>
                        <w:b/>
                        <w:sz w:val="24"/>
                      </w:rPr>
                      <w:instrText xml:space="preserve"> PAGE </w:instrText>
                    </w:r>
                    <w:r>
                      <w:fldChar w:fldCharType="separate"/>
                    </w:r>
                    <w:r w:rsidR="00CE7EB8">
                      <w:rPr>
                        <w:b/>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61" w:rsidRDefault="00707161">
      <w:r>
        <w:separator/>
      </w:r>
    </w:p>
  </w:footnote>
  <w:footnote w:type="continuationSeparator" w:id="0">
    <w:p w:rsidR="00707161" w:rsidRDefault="0070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15" w:rsidRDefault="00CE7EB8">
    <w:pPr>
      <w:pStyle w:val="BodyText"/>
      <w:spacing w:line="14" w:lineRule="auto"/>
      <w:ind w:left="0"/>
      <w:jc w:val="left"/>
      <w:rPr>
        <w:sz w:val="20"/>
      </w:rPr>
    </w:pPr>
    <w:r>
      <w:rPr>
        <w:noProof/>
        <w:lang w:bidi="ar-SA"/>
      </w:rPr>
      <mc:AlternateContent>
        <mc:Choice Requires="wps">
          <w:drawing>
            <wp:anchor distT="0" distB="0" distL="114300" distR="114300" simplePos="0" relativeHeight="503310632" behindDoc="1" locked="0" layoutInCell="1" allowOverlap="1">
              <wp:simplePos x="0" y="0"/>
              <wp:positionH relativeFrom="page">
                <wp:posOffset>914400</wp:posOffset>
              </wp:positionH>
              <wp:positionV relativeFrom="page">
                <wp:posOffset>685800</wp:posOffset>
              </wp:positionV>
              <wp:extent cx="59436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40BAD" id="Line 4" o:spid="_x0000_s1026" style="position:absolute;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v1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">
              <w10:wrap anchorx="page" anchory="page"/>
            </v:line>
          </w:pict>
        </mc:Fallback>
      </mc:AlternateContent>
    </w:r>
    <w:r>
      <w:rPr>
        <w:noProof/>
        <w:lang w:bidi="ar-SA"/>
      </w:rPr>
      <mc:AlternateContent>
        <mc:Choice Requires="wps">
          <w:drawing>
            <wp:anchor distT="0" distB="0" distL="114300" distR="114300" simplePos="0" relativeHeight="503310656" behindDoc="1" locked="0" layoutInCell="1" allowOverlap="1">
              <wp:simplePos x="0" y="0"/>
              <wp:positionH relativeFrom="page">
                <wp:posOffset>5572760</wp:posOffset>
              </wp:positionH>
              <wp:positionV relativeFrom="page">
                <wp:posOffset>448945</wp:posOffset>
              </wp:positionV>
              <wp:extent cx="1090295" cy="194310"/>
              <wp:effectExtent l="635" t="1270" r="444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715" w:rsidRDefault="00707161">
                          <w:pPr>
                            <w:spacing w:before="10"/>
                            <w:ind w:left="20"/>
                            <w:rPr>
                              <w:b/>
                              <w:sz w:val="24"/>
                            </w:rPr>
                          </w:pPr>
                          <w:r>
                            <w:rPr>
                              <w:b/>
                              <w:sz w:val="24"/>
                            </w:rPr>
                            <w:t>Stephen Asunka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8.8pt;margin-top:35.35pt;width:85.85pt;height:15.3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BurgIAAKk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" filled="f" stroked="f">
              <v:textbox inset="0,0,0,0">
                <w:txbxContent>
                  <w:p w:rsidR="00517715" w:rsidRDefault="00707161">
                    <w:pPr>
                      <w:spacing w:before="10"/>
                      <w:ind w:left="20"/>
                      <w:rPr>
                        <w:b/>
                        <w:sz w:val="24"/>
                      </w:rPr>
                    </w:pPr>
                    <w:r>
                      <w:rPr>
                        <w:b/>
                        <w:sz w:val="24"/>
                      </w:rPr>
                      <w:t>Stephen Asunka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77B3A"/>
    <w:multiLevelType w:val="hybridMultilevel"/>
    <w:tmpl w:val="6BB8F256"/>
    <w:lvl w:ilvl="0" w:tplc="94F4BD5C">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en-US"/>
      </w:rPr>
    </w:lvl>
    <w:lvl w:ilvl="1" w:tplc="084CBA12">
      <w:numFmt w:val="bullet"/>
      <w:lvlText w:val="•"/>
      <w:lvlJc w:val="left"/>
      <w:pPr>
        <w:ind w:left="1662" w:hanging="360"/>
      </w:pPr>
      <w:rPr>
        <w:rFonts w:hint="default"/>
        <w:lang w:val="en-US" w:eastAsia="en-US" w:bidi="en-US"/>
      </w:rPr>
    </w:lvl>
    <w:lvl w:ilvl="2" w:tplc="C6D8E7B4">
      <w:numFmt w:val="bullet"/>
      <w:lvlText w:val="•"/>
      <w:lvlJc w:val="left"/>
      <w:pPr>
        <w:ind w:left="2505" w:hanging="360"/>
      </w:pPr>
      <w:rPr>
        <w:rFonts w:hint="default"/>
        <w:lang w:val="en-US" w:eastAsia="en-US" w:bidi="en-US"/>
      </w:rPr>
    </w:lvl>
    <w:lvl w:ilvl="3" w:tplc="8266F3EA">
      <w:numFmt w:val="bullet"/>
      <w:lvlText w:val="•"/>
      <w:lvlJc w:val="left"/>
      <w:pPr>
        <w:ind w:left="3348" w:hanging="360"/>
      </w:pPr>
      <w:rPr>
        <w:rFonts w:hint="default"/>
        <w:lang w:val="en-US" w:eastAsia="en-US" w:bidi="en-US"/>
      </w:rPr>
    </w:lvl>
    <w:lvl w:ilvl="4" w:tplc="0EE8371A">
      <w:numFmt w:val="bullet"/>
      <w:lvlText w:val="•"/>
      <w:lvlJc w:val="left"/>
      <w:pPr>
        <w:ind w:left="4191" w:hanging="360"/>
      </w:pPr>
      <w:rPr>
        <w:rFonts w:hint="default"/>
        <w:lang w:val="en-US" w:eastAsia="en-US" w:bidi="en-US"/>
      </w:rPr>
    </w:lvl>
    <w:lvl w:ilvl="5" w:tplc="453C93E4">
      <w:numFmt w:val="bullet"/>
      <w:lvlText w:val="•"/>
      <w:lvlJc w:val="left"/>
      <w:pPr>
        <w:ind w:left="5034" w:hanging="360"/>
      </w:pPr>
      <w:rPr>
        <w:rFonts w:hint="default"/>
        <w:lang w:val="en-US" w:eastAsia="en-US" w:bidi="en-US"/>
      </w:rPr>
    </w:lvl>
    <w:lvl w:ilvl="6" w:tplc="34505B22">
      <w:numFmt w:val="bullet"/>
      <w:lvlText w:val="•"/>
      <w:lvlJc w:val="left"/>
      <w:pPr>
        <w:ind w:left="5877" w:hanging="360"/>
      </w:pPr>
      <w:rPr>
        <w:rFonts w:hint="default"/>
        <w:lang w:val="en-US" w:eastAsia="en-US" w:bidi="en-US"/>
      </w:rPr>
    </w:lvl>
    <w:lvl w:ilvl="7" w:tplc="BB7C20D0">
      <w:numFmt w:val="bullet"/>
      <w:lvlText w:val="•"/>
      <w:lvlJc w:val="left"/>
      <w:pPr>
        <w:ind w:left="6720" w:hanging="360"/>
      </w:pPr>
      <w:rPr>
        <w:rFonts w:hint="default"/>
        <w:lang w:val="en-US" w:eastAsia="en-US" w:bidi="en-US"/>
      </w:rPr>
    </w:lvl>
    <w:lvl w:ilvl="8" w:tplc="42C60994">
      <w:numFmt w:val="bullet"/>
      <w:lvlText w:val="•"/>
      <w:lvlJc w:val="left"/>
      <w:pPr>
        <w:ind w:left="7563" w:hanging="360"/>
      </w:pPr>
      <w:rPr>
        <w:rFonts w:hint="default"/>
        <w:lang w:val="en-US" w:eastAsia="en-US" w:bidi="en-US"/>
      </w:rPr>
    </w:lvl>
  </w:abstractNum>
  <w:abstractNum w:abstractNumId="1" w15:restartNumberingAfterBreak="0">
    <w:nsid w:val="684F79A6"/>
    <w:multiLevelType w:val="hybridMultilevel"/>
    <w:tmpl w:val="2D5689F2"/>
    <w:lvl w:ilvl="0" w:tplc="AA04DC44">
      <w:numFmt w:val="bullet"/>
      <w:lvlText w:val=""/>
      <w:lvlJc w:val="left"/>
      <w:pPr>
        <w:ind w:left="820" w:hanging="360"/>
      </w:pPr>
      <w:rPr>
        <w:rFonts w:ascii="Symbol" w:eastAsia="Symbol" w:hAnsi="Symbol" w:cs="Symbol" w:hint="default"/>
        <w:w w:val="100"/>
        <w:sz w:val="16"/>
        <w:szCs w:val="16"/>
        <w:lang w:val="en-US" w:eastAsia="en-US" w:bidi="en-US"/>
      </w:rPr>
    </w:lvl>
    <w:lvl w:ilvl="1" w:tplc="B87873C2">
      <w:numFmt w:val="bullet"/>
      <w:lvlText w:val="•"/>
      <w:lvlJc w:val="left"/>
      <w:pPr>
        <w:ind w:left="1662" w:hanging="360"/>
      </w:pPr>
      <w:rPr>
        <w:rFonts w:hint="default"/>
        <w:lang w:val="en-US" w:eastAsia="en-US" w:bidi="en-US"/>
      </w:rPr>
    </w:lvl>
    <w:lvl w:ilvl="2" w:tplc="6D8AC140">
      <w:numFmt w:val="bullet"/>
      <w:lvlText w:val="•"/>
      <w:lvlJc w:val="left"/>
      <w:pPr>
        <w:ind w:left="2505" w:hanging="360"/>
      </w:pPr>
      <w:rPr>
        <w:rFonts w:hint="default"/>
        <w:lang w:val="en-US" w:eastAsia="en-US" w:bidi="en-US"/>
      </w:rPr>
    </w:lvl>
    <w:lvl w:ilvl="3" w:tplc="69DC77CA">
      <w:numFmt w:val="bullet"/>
      <w:lvlText w:val="•"/>
      <w:lvlJc w:val="left"/>
      <w:pPr>
        <w:ind w:left="3348" w:hanging="360"/>
      </w:pPr>
      <w:rPr>
        <w:rFonts w:hint="default"/>
        <w:lang w:val="en-US" w:eastAsia="en-US" w:bidi="en-US"/>
      </w:rPr>
    </w:lvl>
    <w:lvl w:ilvl="4" w:tplc="EB80544E">
      <w:numFmt w:val="bullet"/>
      <w:lvlText w:val="•"/>
      <w:lvlJc w:val="left"/>
      <w:pPr>
        <w:ind w:left="4191" w:hanging="360"/>
      </w:pPr>
      <w:rPr>
        <w:rFonts w:hint="default"/>
        <w:lang w:val="en-US" w:eastAsia="en-US" w:bidi="en-US"/>
      </w:rPr>
    </w:lvl>
    <w:lvl w:ilvl="5" w:tplc="87787BF8">
      <w:numFmt w:val="bullet"/>
      <w:lvlText w:val="•"/>
      <w:lvlJc w:val="left"/>
      <w:pPr>
        <w:ind w:left="5034" w:hanging="360"/>
      </w:pPr>
      <w:rPr>
        <w:rFonts w:hint="default"/>
        <w:lang w:val="en-US" w:eastAsia="en-US" w:bidi="en-US"/>
      </w:rPr>
    </w:lvl>
    <w:lvl w:ilvl="6" w:tplc="405C6964">
      <w:numFmt w:val="bullet"/>
      <w:lvlText w:val="•"/>
      <w:lvlJc w:val="left"/>
      <w:pPr>
        <w:ind w:left="5877" w:hanging="360"/>
      </w:pPr>
      <w:rPr>
        <w:rFonts w:hint="default"/>
        <w:lang w:val="en-US" w:eastAsia="en-US" w:bidi="en-US"/>
      </w:rPr>
    </w:lvl>
    <w:lvl w:ilvl="7" w:tplc="A2CCE9D2">
      <w:numFmt w:val="bullet"/>
      <w:lvlText w:val="•"/>
      <w:lvlJc w:val="left"/>
      <w:pPr>
        <w:ind w:left="6720" w:hanging="360"/>
      </w:pPr>
      <w:rPr>
        <w:rFonts w:hint="default"/>
        <w:lang w:val="en-US" w:eastAsia="en-US" w:bidi="en-US"/>
      </w:rPr>
    </w:lvl>
    <w:lvl w:ilvl="8" w:tplc="A5DE9E56">
      <w:numFmt w:val="bullet"/>
      <w:lvlText w:val="•"/>
      <w:lvlJc w:val="left"/>
      <w:pPr>
        <w:ind w:left="7563"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15"/>
    <w:rsid w:val="00517715"/>
    <w:rsid w:val="00707161"/>
    <w:rsid w:val="00CE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F883E-ABE8-4BFB-A817-93D19A4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2"/>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he.org/ffrr/principles_brochure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Stephen Asunka</dc:creator>
  <cp:lastModifiedBy>Stephen Asunka</cp:lastModifiedBy>
  <cp:revision>2</cp:revision>
  <dcterms:created xsi:type="dcterms:W3CDTF">2019-05-04T06:57:00Z</dcterms:created>
  <dcterms:modified xsi:type="dcterms:W3CDTF">2019-05-04T06:57:00Z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2013</vt:lpwstr>
  </property>
  <property fmtid="{D5CDD505-2E9C-101B-9397-08002B2CF9AE}" pid="4" name="LastSaved">
    <vt:filetime>2019-05-04T00:00:00Z</vt:filetime>
  </property>
</Properties>
</file>